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72" w:rsidRPr="00A726CE" w:rsidRDefault="00E51A2B" w:rsidP="00D42FBA">
      <w:pPr>
        <w:ind w:leftChars="-139" w:left="2" w:hangingChars="105" w:hanging="294"/>
        <w:jc w:val="center"/>
        <w:rPr>
          <w:rFonts w:eastAsia="黑体"/>
          <w:sz w:val="28"/>
          <w:szCs w:val="28"/>
        </w:rPr>
      </w:pPr>
      <w:r>
        <w:rPr>
          <w:rFonts w:eastAsia="黑体"/>
          <w:noProof/>
          <w:sz w:val="28"/>
          <w:szCs w:val="28"/>
        </w:rPr>
        <w:drawing>
          <wp:inline distT="0" distB="0" distL="0" distR="0">
            <wp:extent cx="6115050" cy="914400"/>
            <wp:effectExtent l="19050" t="0" r="0" b="0"/>
            <wp:docPr id="1" name="图片 1" descr="中华医学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华医学会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25B" w:rsidRPr="00A726CE" w:rsidRDefault="003F6194" w:rsidP="00EA645C">
      <w:pPr>
        <w:spacing w:beforeLines="100"/>
        <w:jc w:val="center"/>
        <w:rPr>
          <w:rFonts w:eastAsia="黑体"/>
          <w:sz w:val="36"/>
          <w:szCs w:val="36"/>
        </w:rPr>
      </w:pPr>
      <w:r w:rsidRPr="00A726CE">
        <w:rPr>
          <w:rFonts w:eastAsia="黑体"/>
          <w:sz w:val="36"/>
          <w:szCs w:val="36"/>
        </w:rPr>
        <w:t>中华医学会</w:t>
      </w:r>
      <w:r w:rsidR="005F6803" w:rsidRPr="00A726CE">
        <w:rPr>
          <w:rFonts w:eastAsia="黑体"/>
          <w:sz w:val="36"/>
          <w:szCs w:val="36"/>
        </w:rPr>
        <w:t>重症</w:t>
      </w:r>
      <w:r w:rsidR="008A05A1" w:rsidRPr="00A726CE">
        <w:rPr>
          <w:rFonts w:eastAsia="黑体"/>
          <w:sz w:val="36"/>
          <w:szCs w:val="36"/>
        </w:rPr>
        <w:t>医学</w:t>
      </w:r>
      <w:r w:rsidR="005F6803" w:rsidRPr="00A726CE">
        <w:rPr>
          <w:rFonts w:eastAsia="黑体"/>
          <w:sz w:val="36"/>
          <w:szCs w:val="36"/>
        </w:rPr>
        <w:t>专科资质</w:t>
      </w:r>
      <w:r w:rsidR="00E606FB" w:rsidRPr="00A726CE">
        <w:rPr>
          <w:rFonts w:eastAsia="黑体"/>
          <w:sz w:val="36"/>
          <w:szCs w:val="36"/>
        </w:rPr>
        <w:t>培训</w:t>
      </w:r>
      <w:r w:rsidR="00BE425B" w:rsidRPr="00A726CE">
        <w:rPr>
          <w:rFonts w:eastAsia="黑体"/>
          <w:sz w:val="36"/>
          <w:szCs w:val="36"/>
        </w:rPr>
        <w:t>班招生</w:t>
      </w:r>
      <w:r w:rsidR="005F6803" w:rsidRPr="00A726CE">
        <w:rPr>
          <w:rFonts w:eastAsia="黑体"/>
          <w:sz w:val="36"/>
          <w:szCs w:val="36"/>
        </w:rPr>
        <w:t>简章</w:t>
      </w:r>
    </w:p>
    <w:p w:rsidR="00E775C4" w:rsidRPr="00A726CE" w:rsidRDefault="00E775C4" w:rsidP="001D48B6">
      <w:pPr>
        <w:jc w:val="right"/>
        <w:rPr>
          <w:rFonts w:eastAsia="仿宋_GB2312"/>
          <w:sz w:val="24"/>
        </w:rPr>
      </w:pPr>
    </w:p>
    <w:p w:rsidR="005F6803" w:rsidRPr="00A726CE" w:rsidRDefault="005F6803" w:rsidP="0028625C">
      <w:pPr>
        <w:wordWrap w:val="0"/>
        <w:jc w:val="right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医继教便函</w:t>
      </w:r>
      <w:r w:rsidR="00520F0A" w:rsidRPr="00A726CE">
        <w:rPr>
          <w:rFonts w:eastAsia="仿宋_GB2312"/>
          <w:sz w:val="24"/>
        </w:rPr>
        <w:t>[201</w:t>
      </w:r>
      <w:r w:rsidR="002F7E09" w:rsidRPr="00A726CE">
        <w:rPr>
          <w:rFonts w:eastAsia="仿宋_GB2312"/>
          <w:sz w:val="24"/>
        </w:rPr>
        <w:t>2</w:t>
      </w:r>
      <w:r w:rsidR="00520F0A" w:rsidRPr="00A726CE">
        <w:rPr>
          <w:rFonts w:eastAsia="仿宋_GB2312"/>
          <w:sz w:val="24"/>
        </w:rPr>
        <w:t>]00</w:t>
      </w:r>
      <w:r w:rsidR="0094052C">
        <w:rPr>
          <w:rFonts w:eastAsia="仿宋_GB2312" w:hint="eastAsia"/>
          <w:sz w:val="24"/>
        </w:rPr>
        <w:t>1</w:t>
      </w:r>
      <w:r w:rsidRPr="00A726CE">
        <w:rPr>
          <w:rFonts w:eastAsia="仿宋_GB2312"/>
          <w:sz w:val="24"/>
        </w:rPr>
        <w:t>号</w:t>
      </w:r>
    </w:p>
    <w:p w:rsidR="001D48B6" w:rsidRPr="00A726CE" w:rsidRDefault="001D48B6" w:rsidP="001D48B6">
      <w:p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各医疗单位：</w:t>
      </w:r>
    </w:p>
    <w:p w:rsidR="00F61B19" w:rsidRPr="00A726CE" w:rsidRDefault="00F61B19" w:rsidP="00EA645C">
      <w:pPr>
        <w:spacing w:beforeLines="50"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近年来，在</w:t>
      </w:r>
      <w:r w:rsidRPr="001A1B32">
        <w:rPr>
          <w:rFonts w:eastAsia="仿宋_GB2312"/>
          <w:sz w:val="24"/>
        </w:rPr>
        <w:t>重症医学人的辛勤耕耘下，我国重症医学发展取得了一系列瞩目成就，国家批准了重症医学作为临床医学二级学科，卫生部要求在医疗机构中增加</w:t>
      </w:r>
      <w:r w:rsidR="00A726CE" w:rsidRPr="001A1B32">
        <w:rPr>
          <w:rFonts w:eastAsia="仿宋_GB2312" w:hint="eastAsia"/>
          <w:sz w:val="24"/>
        </w:rPr>
        <w:t>“</w:t>
      </w:r>
      <w:r w:rsidRPr="001A1B32">
        <w:rPr>
          <w:rFonts w:eastAsia="仿宋_GB2312"/>
          <w:sz w:val="24"/>
        </w:rPr>
        <w:t>重症医学科</w:t>
      </w:r>
      <w:r w:rsidR="00A726CE" w:rsidRPr="001A1B32">
        <w:rPr>
          <w:rFonts w:eastAsia="仿宋_GB2312" w:hint="eastAsia"/>
          <w:sz w:val="24"/>
        </w:rPr>
        <w:t>”</w:t>
      </w:r>
      <w:r w:rsidRPr="001A1B32">
        <w:rPr>
          <w:rFonts w:eastAsia="仿宋_GB2312"/>
          <w:sz w:val="24"/>
        </w:rPr>
        <w:t>为一级诊疗科目，并颁布了《重症医学科建设与管理指南（试行）》；重症医学专业人员晋升第一次开始了本专业的统一报名和考试，国家卫生部</w:t>
      </w:r>
      <w:r w:rsidRPr="001A1B32">
        <w:rPr>
          <w:rFonts w:eastAsia="仿宋_GB2312"/>
          <w:sz w:val="24"/>
        </w:rPr>
        <w:t>2009</w:t>
      </w:r>
      <w:r w:rsidRPr="001A1B32">
        <w:rPr>
          <w:rFonts w:eastAsia="仿宋_GB2312"/>
          <w:sz w:val="24"/>
        </w:rPr>
        <w:t>年</w:t>
      </w:r>
      <w:r w:rsidRPr="001A1B32">
        <w:rPr>
          <w:rFonts w:eastAsia="仿宋_GB2312"/>
          <w:sz w:val="24"/>
        </w:rPr>
        <w:t>2</w:t>
      </w:r>
      <w:r w:rsidRPr="001A1B32">
        <w:rPr>
          <w:rFonts w:eastAsia="仿宋_GB2312"/>
          <w:sz w:val="24"/>
        </w:rPr>
        <w:t>月也正式发布了重症医学的相关诊疗指南和技术操作规范，这标志着我国重症医学事业的发展进入了一个规范化、系统化发展的新阶段，是我国医疗卫生事业发展中的一个里程碑。在迎接重症医学春天的同时，加强重症医学从业人员的内涵建设</w:t>
      </w:r>
      <w:r w:rsidRPr="00A726CE">
        <w:rPr>
          <w:rFonts w:eastAsia="仿宋_GB2312"/>
          <w:sz w:val="24"/>
        </w:rPr>
        <w:t>迫在眉睫。</w:t>
      </w:r>
    </w:p>
    <w:p w:rsidR="00F61B19" w:rsidRPr="00A726CE" w:rsidRDefault="00F61B19" w:rsidP="00F61B19">
      <w:pPr>
        <w:spacing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中华医学会重症医学分会、组织管理部与继续教育部决定，借鉴美国重症医学会（</w:t>
      </w:r>
      <w:r w:rsidRPr="00A726CE">
        <w:rPr>
          <w:rFonts w:eastAsia="仿宋_GB2312"/>
          <w:sz w:val="24"/>
        </w:rPr>
        <w:t>SCCM</w:t>
      </w:r>
      <w:r w:rsidRPr="00A726CE">
        <w:rPr>
          <w:rFonts w:eastAsia="仿宋_GB2312"/>
          <w:sz w:val="24"/>
        </w:rPr>
        <w:t>）的</w:t>
      </w:r>
      <w:r w:rsidRPr="00A726CE">
        <w:rPr>
          <w:rFonts w:eastAsia="仿宋_GB2312"/>
          <w:sz w:val="24"/>
        </w:rPr>
        <w:t>FCCS</w:t>
      </w:r>
      <w:r w:rsidRPr="00A726CE">
        <w:rPr>
          <w:rFonts w:eastAsia="仿宋_GB2312"/>
          <w:sz w:val="24"/>
        </w:rPr>
        <w:t>课程的培训模式，参考美国心脏学会</w:t>
      </w:r>
      <w:r w:rsidRPr="00A726CE">
        <w:rPr>
          <w:rFonts w:eastAsia="仿宋_GB2312"/>
          <w:sz w:val="24"/>
        </w:rPr>
        <w:t>ECC</w:t>
      </w:r>
      <w:r w:rsidRPr="00A726CE">
        <w:rPr>
          <w:rFonts w:eastAsia="仿宋_GB2312"/>
          <w:sz w:val="24"/>
        </w:rPr>
        <w:t>课程、美国重症医学会</w:t>
      </w:r>
      <w:r w:rsidRPr="00A726CE">
        <w:rPr>
          <w:rFonts w:eastAsia="仿宋_GB2312"/>
          <w:sz w:val="24"/>
        </w:rPr>
        <w:t>FCCS</w:t>
      </w:r>
      <w:r w:rsidRPr="00A726CE">
        <w:rPr>
          <w:rFonts w:eastAsia="仿宋_GB2312"/>
          <w:sz w:val="24"/>
        </w:rPr>
        <w:t>课程、台湾</w:t>
      </w:r>
      <w:r w:rsidRPr="00A726CE">
        <w:rPr>
          <w:rFonts w:eastAsia="仿宋_GB2312"/>
          <w:sz w:val="24"/>
        </w:rPr>
        <w:t>ACLS</w:t>
      </w:r>
      <w:r w:rsidRPr="00A726CE">
        <w:rPr>
          <w:rFonts w:eastAsia="仿宋_GB2312"/>
          <w:sz w:val="24"/>
        </w:rPr>
        <w:t>联合委员会课程运作方式，结合我国国情，发起开展</w:t>
      </w:r>
      <w:r w:rsidR="00A726CE">
        <w:rPr>
          <w:rFonts w:eastAsia="仿宋_GB2312" w:hint="eastAsia"/>
          <w:sz w:val="24"/>
        </w:rPr>
        <w:t>“</w:t>
      </w:r>
      <w:r w:rsidR="00E02639" w:rsidRPr="00A726CE">
        <w:rPr>
          <w:rFonts w:eastAsia="仿宋_GB2312"/>
          <w:sz w:val="24"/>
        </w:rPr>
        <w:t>中华医学会</w:t>
      </w:r>
      <w:r w:rsidRPr="00A726CE">
        <w:rPr>
          <w:rFonts w:eastAsia="仿宋_GB2312"/>
          <w:sz w:val="24"/>
        </w:rPr>
        <w:t>重症医学专科资质培训及专科会员队伍建设项目</w:t>
      </w:r>
      <w:r w:rsidR="00A726CE">
        <w:rPr>
          <w:rFonts w:eastAsia="仿宋_GB2312" w:hint="eastAsia"/>
          <w:sz w:val="24"/>
        </w:rPr>
        <w:t>”</w:t>
      </w:r>
      <w:r w:rsidRPr="00A726CE">
        <w:rPr>
          <w:rFonts w:eastAsia="仿宋_GB2312"/>
          <w:sz w:val="24"/>
        </w:rPr>
        <w:t>，以系统的、规范的、高质量的重症医学专科资质培训工作为基础，建设高素质的重症医学从业人员队伍。</w:t>
      </w:r>
    </w:p>
    <w:p w:rsidR="00F61B19" w:rsidRPr="00A726CE" w:rsidRDefault="00F61B19" w:rsidP="00F61B19">
      <w:pPr>
        <w:spacing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此次培训班受到全国重症医学专家的高度重视，所有授课教师均为重症医学专业的权威专家，培训采用统一的培训教材及课件，具有规范化的培训流程和标准化的培训考核，对考核合格者颁发由中华医学会重症医学</w:t>
      </w:r>
      <w:r w:rsidR="005B1BC4" w:rsidRPr="00A726CE">
        <w:rPr>
          <w:rFonts w:eastAsia="仿宋_GB2312"/>
          <w:sz w:val="24"/>
        </w:rPr>
        <w:t>分会、组织管理部和继续教育部签章的</w:t>
      </w:r>
      <w:r w:rsidR="00A726CE">
        <w:rPr>
          <w:rFonts w:eastAsia="仿宋_GB2312" w:hint="eastAsia"/>
          <w:sz w:val="24"/>
        </w:rPr>
        <w:t>“</w:t>
      </w:r>
      <w:r w:rsidR="005B1BC4" w:rsidRPr="00A726CE">
        <w:rPr>
          <w:rFonts w:eastAsia="仿宋_GB2312"/>
          <w:sz w:val="24"/>
        </w:rPr>
        <w:t>重症</w:t>
      </w:r>
      <w:r w:rsidR="008A05A1" w:rsidRPr="00A726CE">
        <w:rPr>
          <w:rFonts w:eastAsia="仿宋_GB2312"/>
          <w:sz w:val="24"/>
        </w:rPr>
        <w:t>医学</w:t>
      </w:r>
      <w:r w:rsidRPr="00A726CE">
        <w:rPr>
          <w:rFonts w:eastAsia="仿宋_GB2312"/>
          <w:sz w:val="24"/>
        </w:rPr>
        <w:t>专科资质培训</w:t>
      </w:r>
      <w:r w:rsidR="005B1BC4" w:rsidRPr="00A726CE">
        <w:rPr>
          <w:rFonts w:eastAsia="仿宋_GB2312"/>
          <w:sz w:val="24"/>
        </w:rPr>
        <w:t>合格证</w:t>
      </w:r>
      <w:r w:rsidR="00A726CE">
        <w:rPr>
          <w:rFonts w:eastAsia="仿宋_GB2312" w:hint="eastAsia"/>
          <w:sz w:val="24"/>
        </w:rPr>
        <w:t>”</w:t>
      </w:r>
      <w:r w:rsidRPr="00A726CE">
        <w:rPr>
          <w:rFonts w:eastAsia="仿宋_GB2312"/>
          <w:sz w:val="24"/>
        </w:rPr>
        <w:t>，证书印有照片，编号唯一。</w:t>
      </w:r>
    </w:p>
    <w:p w:rsidR="002F7E09" w:rsidRPr="00A726CE" w:rsidRDefault="002F7E09" w:rsidP="00A26410">
      <w:pPr>
        <w:spacing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中华医学会重症医学分会、组织管理部与继续教育部已于</w:t>
      </w:r>
      <w:r w:rsidRPr="00A726CE">
        <w:rPr>
          <w:rFonts w:eastAsia="仿宋_GB2312"/>
          <w:sz w:val="24"/>
        </w:rPr>
        <w:t>2009</w:t>
      </w:r>
      <w:r w:rsidRPr="00A726CE">
        <w:rPr>
          <w:rFonts w:eastAsia="仿宋_GB2312"/>
          <w:sz w:val="24"/>
        </w:rPr>
        <w:t>、</w:t>
      </w:r>
      <w:r w:rsidRPr="00A726CE">
        <w:rPr>
          <w:rFonts w:eastAsia="仿宋_GB2312"/>
          <w:sz w:val="24"/>
        </w:rPr>
        <w:t>2010</w:t>
      </w:r>
      <w:r w:rsidRPr="00A726CE">
        <w:rPr>
          <w:rFonts w:eastAsia="仿宋_GB2312"/>
          <w:sz w:val="24"/>
        </w:rPr>
        <w:t>和</w:t>
      </w:r>
      <w:r w:rsidRPr="00A726CE">
        <w:rPr>
          <w:rFonts w:eastAsia="仿宋_GB2312"/>
          <w:sz w:val="24"/>
        </w:rPr>
        <w:t>2011</w:t>
      </w:r>
      <w:r w:rsidRPr="00A726CE">
        <w:rPr>
          <w:rFonts w:eastAsia="仿宋_GB2312"/>
          <w:sz w:val="24"/>
        </w:rPr>
        <w:t>年分别在厦门、西安、长沙、石家庄、贵阳、成都、呼和浩特、天津、苏州、海口、哈尔滨、郑州、杭州、珠海、乌鲁木齐、银川、上海、宁波、重庆、南宁举办了二十期重症医学专科资质培训班。</w:t>
      </w:r>
    </w:p>
    <w:p w:rsidR="000A2F18" w:rsidRPr="00A726CE" w:rsidRDefault="002F7E09" w:rsidP="006C75E6">
      <w:pPr>
        <w:spacing w:line="300" w:lineRule="auto"/>
        <w:ind w:firstLineChars="200" w:firstLine="482"/>
        <w:rPr>
          <w:rFonts w:eastAsia="仿宋_GB2312"/>
          <w:sz w:val="24"/>
        </w:rPr>
      </w:pPr>
      <w:r w:rsidRPr="006C75E6">
        <w:rPr>
          <w:rFonts w:eastAsia="仿宋_GB2312"/>
          <w:b/>
          <w:sz w:val="24"/>
          <w:u w:val="single"/>
        </w:rPr>
        <w:t>2012</w:t>
      </w:r>
      <w:r w:rsidRPr="006C75E6">
        <w:rPr>
          <w:rFonts w:eastAsia="仿宋_GB2312"/>
          <w:b/>
          <w:sz w:val="24"/>
          <w:u w:val="single"/>
        </w:rPr>
        <w:t>年将举办</w:t>
      </w:r>
      <w:r w:rsidR="00E60761" w:rsidRPr="006C75E6">
        <w:rPr>
          <w:rFonts w:eastAsia="仿宋_GB2312"/>
          <w:b/>
          <w:sz w:val="24"/>
          <w:u w:val="single"/>
        </w:rPr>
        <w:t>十期</w:t>
      </w:r>
      <w:r w:rsidRPr="006C75E6">
        <w:rPr>
          <w:rFonts w:eastAsia="仿宋_GB2312"/>
          <w:b/>
          <w:sz w:val="24"/>
          <w:u w:val="single"/>
        </w:rPr>
        <w:t>培训班</w:t>
      </w:r>
      <w:r w:rsidRPr="006C75E6">
        <w:rPr>
          <w:rFonts w:eastAsia="仿宋_GB2312"/>
          <w:sz w:val="24"/>
          <w:u w:val="single"/>
        </w:rPr>
        <w:t>，</w:t>
      </w:r>
      <w:r w:rsidRPr="006C75E6">
        <w:rPr>
          <w:rFonts w:eastAsia="仿宋_GB2312"/>
          <w:b/>
          <w:sz w:val="24"/>
          <w:u w:val="single"/>
        </w:rPr>
        <w:t>具体举办地点</w:t>
      </w:r>
      <w:r w:rsidRPr="00A726CE">
        <w:rPr>
          <w:rFonts w:eastAsia="仿宋_GB2312"/>
          <w:sz w:val="24"/>
        </w:rPr>
        <w:t>是昆明（</w:t>
      </w:r>
      <w:r w:rsidRPr="00A726CE">
        <w:rPr>
          <w:rFonts w:eastAsia="仿宋_GB2312"/>
          <w:sz w:val="24"/>
        </w:rPr>
        <w:t>3</w:t>
      </w:r>
      <w:r w:rsidRPr="00A726CE">
        <w:rPr>
          <w:rFonts w:eastAsia="仿宋_GB2312"/>
          <w:sz w:val="24"/>
        </w:rPr>
        <w:t>月）、大连（</w:t>
      </w:r>
      <w:r w:rsidRPr="00A726CE">
        <w:rPr>
          <w:rFonts w:eastAsia="仿宋_GB2312"/>
          <w:sz w:val="24"/>
        </w:rPr>
        <w:t>4</w:t>
      </w:r>
      <w:r w:rsidRPr="00A726CE">
        <w:rPr>
          <w:rFonts w:eastAsia="仿宋_GB2312"/>
          <w:sz w:val="24"/>
        </w:rPr>
        <w:t>月）、南京（</w:t>
      </w:r>
      <w:r w:rsidRPr="00A726CE">
        <w:rPr>
          <w:rFonts w:eastAsia="仿宋_GB2312"/>
          <w:sz w:val="24"/>
        </w:rPr>
        <w:t>6</w:t>
      </w:r>
      <w:r w:rsidRPr="00A726CE">
        <w:rPr>
          <w:rFonts w:eastAsia="仿宋_GB2312"/>
          <w:sz w:val="24"/>
        </w:rPr>
        <w:t>月）、南昌（</w:t>
      </w:r>
      <w:r w:rsidRPr="00A726CE">
        <w:rPr>
          <w:rFonts w:eastAsia="仿宋_GB2312"/>
          <w:sz w:val="24"/>
        </w:rPr>
        <w:t>6</w:t>
      </w:r>
      <w:r w:rsidRPr="00A726CE">
        <w:rPr>
          <w:rFonts w:eastAsia="仿宋_GB2312"/>
          <w:sz w:val="24"/>
        </w:rPr>
        <w:t>月）、</w:t>
      </w:r>
      <w:r w:rsidR="00E60761">
        <w:rPr>
          <w:rFonts w:eastAsia="仿宋_GB2312" w:hint="eastAsia"/>
          <w:sz w:val="24"/>
        </w:rPr>
        <w:t>南通（</w:t>
      </w:r>
      <w:r w:rsidR="00E60761">
        <w:rPr>
          <w:rFonts w:eastAsia="仿宋_GB2312" w:hint="eastAsia"/>
          <w:sz w:val="24"/>
        </w:rPr>
        <w:t>6</w:t>
      </w:r>
      <w:r w:rsidR="00E60761">
        <w:rPr>
          <w:rFonts w:eastAsia="仿宋_GB2312" w:hint="eastAsia"/>
          <w:sz w:val="24"/>
        </w:rPr>
        <w:t>月）、</w:t>
      </w:r>
      <w:r w:rsidRPr="00A726CE">
        <w:rPr>
          <w:rFonts w:eastAsia="仿宋_GB2312"/>
          <w:sz w:val="24"/>
        </w:rPr>
        <w:t>拉萨（</w:t>
      </w:r>
      <w:r w:rsidRPr="00A726CE">
        <w:rPr>
          <w:rFonts w:eastAsia="仿宋_GB2312"/>
          <w:sz w:val="24"/>
        </w:rPr>
        <w:t>7</w:t>
      </w:r>
      <w:r w:rsidR="00A26410" w:rsidRPr="00A726CE">
        <w:rPr>
          <w:rFonts w:eastAsia="仿宋_GB2312"/>
          <w:sz w:val="24"/>
        </w:rPr>
        <w:t>／</w:t>
      </w:r>
      <w:r w:rsidRPr="00A726CE">
        <w:rPr>
          <w:rFonts w:eastAsia="仿宋_GB2312"/>
          <w:sz w:val="24"/>
        </w:rPr>
        <w:t>8</w:t>
      </w:r>
      <w:r w:rsidRPr="00A726CE">
        <w:rPr>
          <w:rFonts w:eastAsia="仿宋_GB2312"/>
          <w:sz w:val="24"/>
        </w:rPr>
        <w:t>月）、青岛（</w:t>
      </w:r>
      <w:r w:rsidRPr="00A726CE">
        <w:rPr>
          <w:rFonts w:eastAsia="仿宋_GB2312"/>
          <w:sz w:val="24"/>
        </w:rPr>
        <w:t>9</w:t>
      </w:r>
      <w:r w:rsidRPr="00A726CE">
        <w:rPr>
          <w:rFonts w:eastAsia="仿宋_GB2312"/>
          <w:sz w:val="24"/>
        </w:rPr>
        <w:t>月）、济南（</w:t>
      </w:r>
      <w:r w:rsidRPr="00A726CE">
        <w:rPr>
          <w:rFonts w:eastAsia="仿宋_GB2312"/>
          <w:sz w:val="24"/>
        </w:rPr>
        <w:t>9</w:t>
      </w:r>
      <w:r w:rsidRPr="00A726CE">
        <w:rPr>
          <w:rFonts w:eastAsia="仿宋_GB2312"/>
          <w:sz w:val="24"/>
        </w:rPr>
        <w:t>月）、武汉（</w:t>
      </w:r>
      <w:r w:rsidRPr="00A726CE">
        <w:rPr>
          <w:rFonts w:eastAsia="仿宋_GB2312"/>
          <w:sz w:val="24"/>
        </w:rPr>
        <w:t>11</w:t>
      </w:r>
      <w:r w:rsidRPr="00A726CE">
        <w:rPr>
          <w:rFonts w:eastAsia="仿宋_GB2312"/>
          <w:sz w:val="24"/>
        </w:rPr>
        <w:t>月）、太原（</w:t>
      </w:r>
      <w:r w:rsidRPr="00A726CE">
        <w:rPr>
          <w:rFonts w:eastAsia="仿宋_GB2312"/>
          <w:sz w:val="24"/>
        </w:rPr>
        <w:t>11</w:t>
      </w:r>
      <w:r w:rsidRPr="00A726CE">
        <w:rPr>
          <w:rFonts w:eastAsia="仿宋_GB2312"/>
          <w:sz w:val="24"/>
        </w:rPr>
        <w:t>月）。其中，南昌、</w:t>
      </w:r>
      <w:r w:rsidR="00E60761">
        <w:rPr>
          <w:rFonts w:eastAsia="仿宋_GB2312" w:hint="eastAsia"/>
          <w:sz w:val="24"/>
        </w:rPr>
        <w:t>南通、</w:t>
      </w:r>
      <w:r w:rsidRPr="00A726CE">
        <w:rPr>
          <w:rFonts w:eastAsia="仿宋_GB2312"/>
          <w:sz w:val="24"/>
        </w:rPr>
        <w:t>济南、太原为富媒体形式同步转播南京、青岛、武汉主会场的理论培训内容。</w:t>
      </w:r>
      <w:r w:rsidR="006D64AD" w:rsidRPr="00A726CE">
        <w:rPr>
          <w:rFonts w:eastAsia="仿宋_GB2312"/>
          <w:sz w:val="24"/>
        </w:rPr>
        <w:t>相关信息通知如下：</w:t>
      </w:r>
    </w:p>
    <w:p w:rsidR="00431100" w:rsidRPr="00A726CE" w:rsidRDefault="00431100" w:rsidP="00431100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招生对象</w:t>
      </w:r>
    </w:p>
    <w:p w:rsidR="00BC0309" w:rsidRPr="00A726CE" w:rsidRDefault="00BC0309" w:rsidP="006A3F2B">
      <w:pPr>
        <w:numPr>
          <w:ilvl w:val="1"/>
          <w:numId w:val="15"/>
        </w:numPr>
        <w:spacing w:line="440" w:lineRule="exact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现重症医学科从业者</w:t>
      </w:r>
    </w:p>
    <w:p w:rsidR="00BC0309" w:rsidRPr="00A726CE" w:rsidRDefault="00BC0309" w:rsidP="006A3F2B">
      <w:pPr>
        <w:numPr>
          <w:ilvl w:val="1"/>
          <w:numId w:val="15"/>
        </w:numPr>
        <w:spacing w:line="440" w:lineRule="exact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拟从业于重症医学科者</w:t>
      </w:r>
    </w:p>
    <w:p w:rsidR="00431100" w:rsidRPr="00A726CE" w:rsidRDefault="00BC0309" w:rsidP="006A3F2B">
      <w:pPr>
        <w:numPr>
          <w:ilvl w:val="1"/>
          <w:numId w:val="15"/>
        </w:numPr>
        <w:spacing w:line="440" w:lineRule="exact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lastRenderedPageBreak/>
        <w:t>相关科室，如麻醉、急诊、内科、外科、儿科等</w:t>
      </w:r>
      <w:r w:rsidR="00CD6446" w:rsidRPr="00A726CE">
        <w:rPr>
          <w:rFonts w:eastAsia="仿宋_GB2312"/>
          <w:sz w:val="24"/>
        </w:rPr>
        <w:t>的</w:t>
      </w:r>
      <w:r w:rsidRPr="00A726CE">
        <w:rPr>
          <w:rFonts w:eastAsia="仿宋_GB2312"/>
          <w:sz w:val="24"/>
        </w:rPr>
        <w:t>从业人员</w:t>
      </w:r>
    </w:p>
    <w:p w:rsidR="008A05A1" w:rsidRPr="00A726CE" w:rsidRDefault="008A05A1" w:rsidP="006A3F2B">
      <w:pPr>
        <w:spacing w:line="440" w:lineRule="exact"/>
        <w:ind w:left="420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注：具有一定重症医学科从业经验者为最佳培训对象</w:t>
      </w:r>
    </w:p>
    <w:p w:rsidR="00431100" w:rsidRPr="00A726CE" w:rsidRDefault="00431100" w:rsidP="007D32F6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培训</w:t>
      </w:r>
      <w:r w:rsidR="00F61B19" w:rsidRPr="00A726CE">
        <w:rPr>
          <w:rFonts w:eastAsia="仿宋_GB2312"/>
          <w:b/>
          <w:sz w:val="24"/>
        </w:rPr>
        <w:t>内容</w:t>
      </w:r>
    </w:p>
    <w:p w:rsidR="008A05A1" w:rsidRPr="00A726CE" w:rsidRDefault="008A05A1" w:rsidP="008A05A1">
      <w:pPr>
        <w:spacing w:line="440" w:lineRule="exact"/>
        <w:ind w:firstLineChars="175" w:firstLine="42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理论培训：以《重症医学专科资质培训教材》为基础，按模块授课，每个模块均采用理论要点讲授、病例讨论和提问与答疑的形式进行。授课内容涉及重症患者的评价和认识、重症监测理论和原则、心肺脑复苏、休克的诊断和治疗、重症患者心血管急症的诊断和处理、血流动力学监测、呼吸衰竭、急性肺损伤与急性呼吸窘迫综合征、机械通气、静脉血栓与肺栓塞的诊断和治疗、脓毒症与多器官功能障碍综合症、急性肾衰竭与血液净化技术、消化系统的重症诊治、重症患者的肠内与肠外营养支持、重症患者的感染与抗菌药物、重症患者的出血和凝血障碍、重症患者的内分泌与代谢、重症患者的内环境紊乱、重症患者的镇痛镇静治疗、中枢神经系统的重症诊治、创伤后机体反应及基本的创伤支持、重症医学的科研等内容。</w:t>
      </w:r>
    </w:p>
    <w:p w:rsidR="008A05A1" w:rsidRPr="00A726CE" w:rsidRDefault="008A05A1" w:rsidP="002F7E09">
      <w:pPr>
        <w:spacing w:line="440" w:lineRule="exact"/>
        <w:ind w:firstLineChars="175" w:firstLine="42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技能培训：人工气道建立与机械通气、血管导管的放置与血流动力学监测</w:t>
      </w:r>
      <w:r w:rsidR="002F7E09" w:rsidRPr="00A726CE">
        <w:rPr>
          <w:rFonts w:eastAsia="仿宋_GB2312"/>
          <w:sz w:val="24"/>
        </w:rPr>
        <w:t>、</w:t>
      </w:r>
      <w:r w:rsidR="002F7E09" w:rsidRPr="00A726CE">
        <w:rPr>
          <w:rFonts w:eastAsia="仿宋_GB2312"/>
          <w:sz w:val="24"/>
        </w:rPr>
        <w:t>CRRT</w:t>
      </w:r>
      <w:r w:rsidR="002F7E09" w:rsidRPr="00A726CE">
        <w:rPr>
          <w:rFonts w:eastAsia="仿宋_GB2312"/>
          <w:sz w:val="24"/>
        </w:rPr>
        <w:t>技术</w:t>
      </w:r>
      <w:r w:rsidRPr="00A726CE">
        <w:rPr>
          <w:rFonts w:eastAsia="仿宋_GB2312"/>
          <w:sz w:val="24"/>
        </w:rPr>
        <w:t>。</w:t>
      </w:r>
    </w:p>
    <w:p w:rsidR="00431100" w:rsidRPr="00A726CE" w:rsidRDefault="00431100" w:rsidP="00431100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培训考核</w:t>
      </w:r>
    </w:p>
    <w:p w:rsidR="00431100" w:rsidRPr="00A726CE" w:rsidRDefault="008A05A1" w:rsidP="008A05A1">
      <w:pPr>
        <w:spacing w:line="440" w:lineRule="exact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培训班采用闭卷笔试的方式进行考核。参加培训且技能培训考核合格者方可参加最后的闭卷笔试。考场纪律严格，不得翻阅资料，交头接耳，传递物品和使用各种电子设备，违反者以作弊论处，取消考试成绩</w:t>
      </w:r>
      <w:r w:rsidR="00431100" w:rsidRPr="00A726CE">
        <w:rPr>
          <w:rFonts w:eastAsia="仿宋_GB2312"/>
          <w:sz w:val="24"/>
        </w:rPr>
        <w:t>。</w:t>
      </w:r>
    </w:p>
    <w:p w:rsidR="00E97503" w:rsidRPr="00A726CE" w:rsidRDefault="00E97503" w:rsidP="008A05A1">
      <w:pPr>
        <w:spacing w:line="440" w:lineRule="exact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培训考核合格者名单将公布在</w:t>
      </w:r>
      <w:r w:rsidR="00481AAE" w:rsidRPr="00A726CE">
        <w:rPr>
          <w:rFonts w:eastAsia="仿宋_GB2312"/>
          <w:sz w:val="24"/>
        </w:rPr>
        <w:t>中华医学会（</w:t>
      </w:r>
      <w:r w:rsidR="00481AAE" w:rsidRPr="00A726CE">
        <w:rPr>
          <w:rFonts w:eastAsia="仿宋_GB2312"/>
          <w:sz w:val="24"/>
        </w:rPr>
        <w:t>www.cma.org.cn</w:t>
      </w:r>
      <w:r w:rsidR="00481AAE" w:rsidRPr="00A726CE">
        <w:rPr>
          <w:rFonts w:eastAsia="仿宋_GB2312"/>
          <w:sz w:val="24"/>
        </w:rPr>
        <w:t>）</w:t>
      </w:r>
      <w:r w:rsidR="002F7E09" w:rsidRPr="00A726CE">
        <w:rPr>
          <w:rFonts w:eastAsia="仿宋_GB2312"/>
          <w:sz w:val="24"/>
        </w:rPr>
        <w:t>及</w:t>
      </w:r>
      <w:r w:rsidR="009C25A3">
        <w:rPr>
          <w:rFonts w:eastAsia="仿宋_GB2312" w:hint="eastAsia"/>
          <w:sz w:val="24"/>
        </w:rPr>
        <w:t>项目</w:t>
      </w:r>
      <w:r w:rsidR="002F7E09" w:rsidRPr="00A726CE">
        <w:rPr>
          <w:rFonts w:eastAsia="仿宋_GB2312"/>
          <w:sz w:val="24"/>
        </w:rPr>
        <w:t>（</w:t>
      </w:r>
      <w:r w:rsidR="002F7E09" w:rsidRPr="00A726CE">
        <w:rPr>
          <w:rFonts w:eastAsia="仿宋_GB2312"/>
          <w:sz w:val="24"/>
        </w:rPr>
        <w:t>5C.cmacme.org</w:t>
      </w:r>
      <w:r w:rsidR="002F7E09" w:rsidRPr="00A726CE">
        <w:rPr>
          <w:rFonts w:eastAsia="仿宋_GB2312"/>
          <w:sz w:val="24"/>
        </w:rPr>
        <w:t>）</w:t>
      </w:r>
      <w:r w:rsidR="00A726CE">
        <w:rPr>
          <w:rFonts w:eastAsia="仿宋_GB2312" w:hint="eastAsia"/>
          <w:sz w:val="24"/>
        </w:rPr>
        <w:t>专门</w:t>
      </w:r>
      <w:r w:rsidR="002F7E09" w:rsidRPr="00A726CE">
        <w:rPr>
          <w:rFonts w:eastAsia="仿宋_GB2312"/>
          <w:sz w:val="24"/>
        </w:rPr>
        <w:t>网站</w:t>
      </w:r>
      <w:r w:rsidRPr="00A726CE">
        <w:rPr>
          <w:rFonts w:eastAsia="仿宋_GB2312"/>
          <w:sz w:val="24"/>
        </w:rPr>
        <w:t>下。培训考核未通过者，可以在</w:t>
      </w:r>
      <w:r w:rsidR="002F7E09" w:rsidRPr="00A726CE">
        <w:rPr>
          <w:rFonts w:eastAsia="仿宋_GB2312"/>
          <w:sz w:val="24"/>
        </w:rPr>
        <w:t>12</w:t>
      </w:r>
      <w:r w:rsidR="002F7E09" w:rsidRPr="00A726CE">
        <w:rPr>
          <w:rFonts w:eastAsia="仿宋_GB2312"/>
          <w:sz w:val="24"/>
        </w:rPr>
        <w:t>个月内</w:t>
      </w:r>
      <w:r w:rsidRPr="00A726CE">
        <w:rPr>
          <w:rFonts w:eastAsia="仿宋_GB2312"/>
          <w:sz w:val="24"/>
        </w:rPr>
        <w:t>举办的中华医学会重症医学专科资质</w:t>
      </w:r>
      <w:r w:rsidR="002F7E09" w:rsidRPr="00A726CE">
        <w:rPr>
          <w:rFonts w:eastAsia="仿宋_GB2312"/>
          <w:sz w:val="24"/>
        </w:rPr>
        <w:t>同类别</w:t>
      </w:r>
      <w:r w:rsidRPr="00A726CE">
        <w:rPr>
          <w:rFonts w:eastAsia="仿宋_GB2312"/>
          <w:sz w:val="24"/>
        </w:rPr>
        <w:t>培训班中任选一期免费参加学习（培训期间食宿费用自理），并参加考试，也可以直接参加考试，但务必于拟参加的班次举办前至少</w:t>
      </w:r>
      <w:r w:rsidRPr="00A726CE">
        <w:rPr>
          <w:rFonts w:eastAsia="仿宋_GB2312"/>
          <w:sz w:val="24"/>
        </w:rPr>
        <w:t>1</w:t>
      </w:r>
      <w:r w:rsidR="002F7E09" w:rsidRPr="00A726CE">
        <w:rPr>
          <w:rFonts w:eastAsia="仿宋_GB2312"/>
          <w:sz w:val="24"/>
        </w:rPr>
        <w:t>5</w:t>
      </w:r>
      <w:r w:rsidRPr="00A726CE">
        <w:rPr>
          <w:rFonts w:eastAsia="仿宋_GB2312"/>
          <w:sz w:val="24"/>
        </w:rPr>
        <w:t>个工作日报名。</w:t>
      </w:r>
    </w:p>
    <w:p w:rsidR="00431100" w:rsidRPr="00A726CE" w:rsidRDefault="00431100" w:rsidP="00431100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时间</w:t>
      </w:r>
      <w:r w:rsidR="00A26410" w:rsidRPr="00A726CE">
        <w:rPr>
          <w:rFonts w:eastAsia="仿宋_GB2312"/>
          <w:b/>
          <w:sz w:val="24"/>
        </w:rPr>
        <w:t>、</w:t>
      </w:r>
      <w:r w:rsidRPr="00A726CE">
        <w:rPr>
          <w:rFonts w:eastAsia="仿宋_GB2312"/>
          <w:b/>
          <w:sz w:val="24"/>
        </w:rPr>
        <w:t>地点</w:t>
      </w:r>
    </w:p>
    <w:tbl>
      <w:tblPr>
        <w:tblW w:w="9104" w:type="dxa"/>
        <w:jc w:val="center"/>
        <w:tblInd w:w="-1233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92"/>
        <w:gridCol w:w="2127"/>
        <w:gridCol w:w="2693"/>
        <w:gridCol w:w="3292"/>
      </w:tblGrid>
      <w:tr w:rsidR="002F7E09" w:rsidRPr="00A726CE" w:rsidTr="00A26410">
        <w:trPr>
          <w:jc w:val="center"/>
        </w:trPr>
        <w:tc>
          <w:tcPr>
            <w:tcW w:w="992" w:type="dxa"/>
            <w:shd w:val="clear" w:color="auto" w:fill="8DB3E2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b/>
                <w:sz w:val="24"/>
              </w:rPr>
            </w:pPr>
            <w:r w:rsidRPr="00A726CE">
              <w:rPr>
                <w:rFonts w:eastAsia="楷体_GB2312"/>
                <w:b/>
                <w:sz w:val="24"/>
              </w:rPr>
              <w:t>序号</w:t>
            </w:r>
          </w:p>
        </w:tc>
        <w:tc>
          <w:tcPr>
            <w:tcW w:w="2127" w:type="dxa"/>
            <w:shd w:val="clear" w:color="auto" w:fill="8DB3E2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b/>
                <w:sz w:val="24"/>
              </w:rPr>
            </w:pPr>
            <w:r w:rsidRPr="00A726CE">
              <w:rPr>
                <w:rFonts w:eastAsia="楷体_GB2312"/>
                <w:b/>
                <w:sz w:val="24"/>
              </w:rPr>
              <w:t>地点</w:t>
            </w:r>
          </w:p>
        </w:tc>
        <w:tc>
          <w:tcPr>
            <w:tcW w:w="2693" w:type="dxa"/>
            <w:shd w:val="clear" w:color="auto" w:fill="8DB3E2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b/>
                <w:sz w:val="24"/>
              </w:rPr>
            </w:pPr>
            <w:r w:rsidRPr="00A726CE">
              <w:rPr>
                <w:rFonts w:eastAsia="楷体_GB2312"/>
                <w:b/>
                <w:sz w:val="24"/>
              </w:rPr>
              <w:t>形式</w:t>
            </w:r>
          </w:p>
        </w:tc>
        <w:tc>
          <w:tcPr>
            <w:tcW w:w="3292" w:type="dxa"/>
            <w:shd w:val="clear" w:color="auto" w:fill="8DB3E2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b/>
                <w:sz w:val="24"/>
              </w:rPr>
            </w:pPr>
            <w:r w:rsidRPr="00A726CE">
              <w:rPr>
                <w:rFonts w:eastAsia="楷体_GB2312"/>
                <w:b/>
                <w:sz w:val="24"/>
              </w:rPr>
              <w:t>时间</w:t>
            </w:r>
          </w:p>
        </w:tc>
      </w:tr>
      <w:tr w:rsidR="002F7E09" w:rsidRPr="00A726CE" w:rsidTr="00A26410">
        <w:trPr>
          <w:jc w:val="center"/>
        </w:trPr>
        <w:tc>
          <w:tcPr>
            <w:tcW w:w="992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1</w:t>
            </w:r>
          </w:p>
        </w:tc>
        <w:tc>
          <w:tcPr>
            <w:tcW w:w="2127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昆明</w:t>
            </w:r>
          </w:p>
        </w:tc>
        <w:tc>
          <w:tcPr>
            <w:tcW w:w="2693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面</w:t>
            </w:r>
            <w:r w:rsidRPr="00A726CE">
              <w:rPr>
                <w:rFonts w:eastAsia="楷体_GB2312"/>
                <w:sz w:val="24"/>
              </w:rPr>
              <w:t xml:space="preserve">  </w:t>
            </w:r>
            <w:r w:rsidRPr="00A726CE">
              <w:rPr>
                <w:rFonts w:eastAsia="楷体_GB2312"/>
                <w:sz w:val="24"/>
              </w:rPr>
              <w:t>授</w:t>
            </w:r>
          </w:p>
        </w:tc>
        <w:tc>
          <w:tcPr>
            <w:tcW w:w="3292" w:type="dxa"/>
          </w:tcPr>
          <w:p w:rsidR="002F7E09" w:rsidRPr="00A726CE" w:rsidRDefault="002F7E09" w:rsidP="002F7E09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3</w:t>
            </w:r>
            <w:r w:rsidRPr="00A726CE">
              <w:rPr>
                <w:rFonts w:eastAsia="楷体_GB2312"/>
                <w:sz w:val="24"/>
              </w:rPr>
              <w:t>月下旬</w:t>
            </w:r>
          </w:p>
        </w:tc>
      </w:tr>
      <w:tr w:rsidR="002F7E09" w:rsidRPr="00A726CE" w:rsidTr="00A26410">
        <w:trPr>
          <w:jc w:val="center"/>
        </w:trPr>
        <w:tc>
          <w:tcPr>
            <w:tcW w:w="992" w:type="dxa"/>
          </w:tcPr>
          <w:p w:rsidR="002F7E09" w:rsidRPr="00A726CE" w:rsidRDefault="002F7E09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2</w:t>
            </w:r>
          </w:p>
        </w:tc>
        <w:tc>
          <w:tcPr>
            <w:tcW w:w="2127" w:type="dxa"/>
          </w:tcPr>
          <w:p w:rsidR="002F7E09" w:rsidRPr="00A726CE" w:rsidRDefault="002F7E09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大连</w:t>
            </w:r>
          </w:p>
        </w:tc>
        <w:tc>
          <w:tcPr>
            <w:tcW w:w="2693" w:type="dxa"/>
          </w:tcPr>
          <w:p w:rsidR="002F7E09" w:rsidRPr="00A726CE" w:rsidRDefault="002F7E09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面</w:t>
            </w:r>
            <w:r w:rsidRPr="00A726CE">
              <w:rPr>
                <w:rFonts w:eastAsia="楷体_GB2312"/>
                <w:sz w:val="24"/>
              </w:rPr>
              <w:t xml:space="preserve">  </w:t>
            </w:r>
            <w:r w:rsidRPr="00A726CE">
              <w:rPr>
                <w:rFonts w:eastAsia="楷体_GB2312"/>
                <w:sz w:val="24"/>
              </w:rPr>
              <w:t>授</w:t>
            </w:r>
          </w:p>
        </w:tc>
        <w:tc>
          <w:tcPr>
            <w:tcW w:w="3292" w:type="dxa"/>
          </w:tcPr>
          <w:p w:rsidR="002F7E09" w:rsidRPr="00A726CE" w:rsidRDefault="002F7E09" w:rsidP="002F7E09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4</w:t>
            </w:r>
            <w:r w:rsidRPr="00A726CE">
              <w:rPr>
                <w:rFonts w:eastAsia="楷体_GB2312"/>
                <w:sz w:val="24"/>
              </w:rPr>
              <w:t>月中旬</w:t>
            </w:r>
          </w:p>
        </w:tc>
      </w:tr>
      <w:tr w:rsidR="002F7E09" w:rsidRPr="00A726CE" w:rsidTr="00A26410">
        <w:trPr>
          <w:jc w:val="center"/>
        </w:trPr>
        <w:tc>
          <w:tcPr>
            <w:tcW w:w="992" w:type="dxa"/>
          </w:tcPr>
          <w:p w:rsidR="002F7E09" w:rsidRPr="00A726CE" w:rsidRDefault="002F7E09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3</w:t>
            </w:r>
          </w:p>
        </w:tc>
        <w:tc>
          <w:tcPr>
            <w:tcW w:w="2127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南京</w:t>
            </w:r>
          </w:p>
        </w:tc>
        <w:tc>
          <w:tcPr>
            <w:tcW w:w="2693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面</w:t>
            </w:r>
            <w:r w:rsidRPr="00A726CE">
              <w:rPr>
                <w:rFonts w:eastAsia="楷体_GB2312"/>
                <w:sz w:val="24"/>
              </w:rPr>
              <w:t xml:space="preserve">  </w:t>
            </w:r>
            <w:r w:rsidRPr="00A726CE">
              <w:rPr>
                <w:rFonts w:eastAsia="楷体_GB2312"/>
                <w:sz w:val="24"/>
              </w:rPr>
              <w:t>授</w:t>
            </w:r>
          </w:p>
        </w:tc>
        <w:tc>
          <w:tcPr>
            <w:tcW w:w="3292" w:type="dxa"/>
          </w:tcPr>
          <w:p w:rsidR="002F7E09" w:rsidRPr="00A726CE" w:rsidRDefault="002F7E09" w:rsidP="002F7E09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6</w:t>
            </w:r>
            <w:r w:rsidRPr="00A726CE">
              <w:rPr>
                <w:rFonts w:eastAsia="楷体_GB2312"/>
                <w:sz w:val="24"/>
              </w:rPr>
              <w:t>月下旬</w:t>
            </w:r>
          </w:p>
        </w:tc>
      </w:tr>
      <w:tr w:rsidR="002F7E09" w:rsidRPr="00A726CE" w:rsidTr="00A26410">
        <w:trPr>
          <w:jc w:val="center"/>
        </w:trPr>
        <w:tc>
          <w:tcPr>
            <w:tcW w:w="992" w:type="dxa"/>
          </w:tcPr>
          <w:p w:rsidR="002F7E09" w:rsidRPr="00A726CE" w:rsidRDefault="002F7E09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4</w:t>
            </w:r>
          </w:p>
        </w:tc>
        <w:tc>
          <w:tcPr>
            <w:tcW w:w="2127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南昌</w:t>
            </w:r>
          </w:p>
        </w:tc>
        <w:tc>
          <w:tcPr>
            <w:tcW w:w="2693" w:type="dxa"/>
          </w:tcPr>
          <w:p w:rsidR="002F7E09" w:rsidRPr="00A726CE" w:rsidRDefault="002F7E09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富媒体</w:t>
            </w:r>
          </w:p>
        </w:tc>
        <w:tc>
          <w:tcPr>
            <w:tcW w:w="3292" w:type="dxa"/>
          </w:tcPr>
          <w:p w:rsidR="002F7E09" w:rsidRPr="00A726CE" w:rsidRDefault="002F7E09" w:rsidP="002F7E09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6</w:t>
            </w:r>
            <w:r w:rsidRPr="00A726CE">
              <w:rPr>
                <w:rFonts w:eastAsia="楷体_GB2312"/>
                <w:sz w:val="24"/>
              </w:rPr>
              <w:t>月下旬，与南京同步</w:t>
            </w:r>
          </w:p>
        </w:tc>
      </w:tr>
      <w:tr w:rsidR="00E60761" w:rsidRPr="00A726CE" w:rsidTr="00A26410">
        <w:trPr>
          <w:jc w:val="center"/>
        </w:trPr>
        <w:tc>
          <w:tcPr>
            <w:tcW w:w="992" w:type="dxa"/>
          </w:tcPr>
          <w:p w:rsidR="00E60761" w:rsidRPr="00A726CE" w:rsidRDefault="00E60761" w:rsidP="00176798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5</w:t>
            </w:r>
          </w:p>
        </w:tc>
        <w:tc>
          <w:tcPr>
            <w:tcW w:w="2127" w:type="dxa"/>
          </w:tcPr>
          <w:p w:rsidR="00E60761" w:rsidRPr="00A726CE" w:rsidRDefault="00E60761" w:rsidP="002F7E09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南通</w:t>
            </w:r>
          </w:p>
        </w:tc>
        <w:tc>
          <w:tcPr>
            <w:tcW w:w="2693" w:type="dxa"/>
          </w:tcPr>
          <w:p w:rsidR="00E60761" w:rsidRPr="00A726CE" w:rsidRDefault="00E60761" w:rsidP="00176798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富媒体</w:t>
            </w:r>
          </w:p>
        </w:tc>
        <w:tc>
          <w:tcPr>
            <w:tcW w:w="3292" w:type="dxa"/>
          </w:tcPr>
          <w:p w:rsidR="00E60761" w:rsidRPr="00A726CE" w:rsidRDefault="00E60761" w:rsidP="00176798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6</w:t>
            </w:r>
            <w:r w:rsidRPr="00A726CE">
              <w:rPr>
                <w:rFonts w:eastAsia="楷体_GB2312"/>
                <w:sz w:val="24"/>
              </w:rPr>
              <w:t>月下旬，与南京同步</w:t>
            </w:r>
          </w:p>
        </w:tc>
      </w:tr>
      <w:tr w:rsidR="00E60761" w:rsidRPr="00A726CE" w:rsidTr="00A26410">
        <w:trPr>
          <w:jc w:val="center"/>
        </w:trPr>
        <w:tc>
          <w:tcPr>
            <w:tcW w:w="992" w:type="dxa"/>
          </w:tcPr>
          <w:p w:rsidR="00E60761" w:rsidRPr="00A726CE" w:rsidRDefault="00E60761" w:rsidP="00176798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6</w:t>
            </w:r>
          </w:p>
        </w:tc>
        <w:tc>
          <w:tcPr>
            <w:tcW w:w="2127" w:type="dxa"/>
          </w:tcPr>
          <w:p w:rsidR="00E60761" w:rsidRPr="00A726CE" w:rsidRDefault="009E2548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拉萨</w:t>
            </w:r>
          </w:p>
        </w:tc>
        <w:tc>
          <w:tcPr>
            <w:tcW w:w="2693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面</w:t>
            </w:r>
            <w:r w:rsidRPr="00A726CE">
              <w:rPr>
                <w:rFonts w:eastAsia="楷体_GB2312"/>
                <w:sz w:val="24"/>
              </w:rPr>
              <w:t xml:space="preserve">  </w:t>
            </w:r>
            <w:r w:rsidRPr="00A726CE">
              <w:rPr>
                <w:rFonts w:eastAsia="楷体_GB2312"/>
                <w:sz w:val="24"/>
              </w:rPr>
              <w:t>授</w:t>
            </w:r>
          </w:p>
        </w:tc>
        <w:tc>
          <w:tcPr>
            <w:tcW w:w="3292" w:type="dxa"/>
          </w:tcPr>
          <w:p w:rsidR="00E60761" w:rsidRPr="00A726CE" w:rsidRDefault="00E60761" w:rsidP="00C94557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7</w:t>
            </w:r>
            <w:r w:rsidRPr="00A726CE">
              <w:rPr>
                <w:rFonts w:eastAsia="楷体_GB2312"/>
                <w:sz w:val="24"/>
              </w:rPr>
              <w:t>月下旬或</w:t>
            </w:r>
            <w:r w:rsidRPr="00A726CE">
              <w:rPr>
                <w:rFonts w:eastAsia="楷体_GB2312"/>
                <w:sz w:val="24"/>
              </w:rPr>
              <w:t>8</w:t>
            </w:r>
            <w:r w:rsidRPr="00A726CE">
              <w:rPr>
                <w:rFonts w:eastAsia="楷体_GB2312"/>
                <w:sz w:val="24"/>
              </w:rPr>
              <w:t>月上旬</w:t>
            </w:r>
          </w:p>
        </w:tc>
      </w:tr>
      <w:tr w:rsidR="00E60761" w:rsidRPr="00A726CE" w:rsidTr="00A26410">
        <w:trPr>
          <w:jc w:val="center"/>
        </w:trPr>
        <w:tc>
          <w:tcPr>
            <w:tcW w:w="992" w:type="dxa"/>
          </w:tcPr>
          <w:p w:rsidR="00E60761" w:rsidRPr="00A726CE" w:rsidRDefault="00E60761" w:rsidP="00176798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7</w:t>
            </w:r>
          </w:p>
        </w:tc>
        <w:tc>
          <w:tcPr>
            <w:tcW w:w="2127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青岛</w:t>
            </w:r>
          </w:p>
        </w:tc>
        <w:tc>
          <w:tcPr>
            <w:tcW w:w="2693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面</w:t>
            </w:r>
            <w:r w:rsidRPr="00A726CE">
              <w:rPr>
                <w:rFonts w:eastAsia="楷体_GB2312"/>
                <w:sz w:val="24"/>
              </w:rPr>
              <w:t xml:space="preserve">  </w:t>
            </w:r>
            <w:r w:rsidRPr="00A726CE">
              <w:rPr>
                <w:rFonts w:eastAsia="楷体_GB2312"/>
                <w:sz w:val="24"/>
              </w:rPr>
              <w:t>授</w:t>
            </w:r>
          </w:p>
        </w:tc>
        <w:tc>
          <w:tcPr>
            <w:tcW w:w="3292" w:type="dxa"/>
          </w:tcPr>
          <w:p w:rsidR="00E60761" w:rsidRPr="00A726CE" w:rsidRDefault="00E60761" w:rsidP="00C94557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9</w:t>
            </w:r>
            <w:r w:rsidRPr="00A726CE">
              <w:rPr>
                <w:rFonts w:eastAsia="楷体_GB2312"/>
                <w:sz w:val="24"/>
              </w:rPr>
              <w:t>月上旬</w:t>
            </w:r>
          </w:p>
        </w:tc>
      </w:tr>
      <w:tr w:rsidR="00E60761" w:rsidRPr="00A726CE" w:rsidTr="00A26410">
        <w:trPr>
          <w:jc w:val="center"/>
        </w:trPr>
        <w:tc>
          <w:tcPr>
            <w:tcW w:w="992" w:type="dxa"/>
          </w:tcPr>
          <w:p w:rsidR="00E60761" w:rsidRPr="00A726CE" w:rsidRDefault="00E60761" w:rsidP="00176798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8</w:t>
            </w:r>
          </w:p>
        </w:tc>
        <w:tc>
          <w:tcPr>
            <w:tcW w:w="2127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济南</w:t>
            </w:r>
          </w:p>
        </w:tc>
        <w:tc>
          <w:tcPr>
            <w:tcW w:w="2693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富媒体</w:t>
            </w:r>
          </w:p>
        </w:tc>
        <w:tc>
          <w:tcPr>
            <w:tcW w:w="3292" w:type="dxa"/>
          </w:tcPr>
          <w:p w:rsidR="00E60761" w:rsidRPr="00A726CE" w:rsidRDefault="00E60761" w:rsidP="00C94557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9</w:t>
            </w:r>
            <w:r w:rsidRPr="00A726CE">
              <w:rPr>
                <w:rFonts w:eastAsia="楷体_GB2312"/>
                <w:sz w:val="24"/>
              </w:rPr>
              <w:t>月上旬，与青岛同步</w:t>
            </w:r>
          </w:p>
        </w:tc>
      </w:tr>
      <w:tr w:rsidR="00E60761" w:rsidRPr="00A726CE" w:rsidTr="00A26410">
        <w:trPr>
          <w:jc w:val="center"/>
        </w:trPr>
        <w:tc>
          <w:tcPr>
            <w:tcW w:w="992" w:type="dxa"/>
          </w:tcPr>
          <w:p w:rsidR="00E60761" w:rsidRPr="00A726CE" w:rsidRDefault="00E60761" w:rsidP="00176798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9</w:t>
            </w:r>
          </w:p>
        </w:tc>
        <w:tc>
          <w:tcPr>
            <w:tcW w:w="2127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武汉</w:t>
            </w:r>
          </w:p>
        </w:tc>
        <w:tc>
          <w:tcPr>
            <w:tcW w:w="2693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面</w:t>
            </w:r>
            <w:r w:rsidRPr="00A726CE">
              <w:rPr>
                <w:rFonts w:eastAsia="楷体_GB2312"/>
                <w:sz w:val="24"/>
              </w:rPr>
              <w:t xml:space="preserve">  </w:t>
            </w:r>
            <w:r w:rsidRPr="00A726CE">
              <w:rPr>
                <w:rFonts w:eastAsia="楷体_GB2312"/>
                <w:sz w:val="24"/>
              </w:rPr>
              <w:t>授</w:t>
            </w:r>
          </w:p>
        </w:tc>
        <w:tc>
          <w:tcPr>
            <w:tcW w:w="3292" w:type="dxa"/>
          </w:tcPr>
          <w:p w:rsidR="00E60761" w:rsidRPr="00A726CE" w:rsidRDefault="00E60761" w:rsidP="00C94557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11</w:t>
            </w:r>
            <w:r w:rsidRPr="00A726CE">
              <w:rPr>
                <w:rFonts w:eastAsia="楷体_GB2312"/>
                <w:sz w:val="24"/>
              </w:rPr>
              <w:t>月上旬</w:t>
            </w:r>
          </w:p>
        </w:tc>
      </w:tr>
      <w:tr w:rsidR="00E60761" w:rsidRPr="00A726CE" w:rsidTr="00A26410">
        <w:trPr>
          <w:jc w:val="center"/>
        </w:trPr>
        <w:tc>
          <w:tcPr>
            <w:tcW w:w="992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</w:t>
            </w:r>
          </w:p>
        </w:tc>
        <w:tc>
          <w:tcPr>
            <w:tcW w:w="2127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太原</w:t>
            </w:r>
          </w:p>
        </w:tc>
        <w:tc>
          <w:tcPr>
            <w:tcW w:w="2693" w:type="dxa"/>
          </w:tcPr>
          <w:p w:rsidR="00E60761" w:rsidRPr="00A726CE" w:rsidRDefault="00E60761" w:rsidP="00C94557">
            <w:pPr>
              <w:spacing w:line="288" w:lineRule="auto"/>
              <w:jc w:val="center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富媒体</w:t>
            </w:r>
          </w:p>
        </w:tc>
        <w:tc>
          <w:tcPr>
            <w:tcW w:w="3292" w:type="dxa"/>
          </w:tcPr>
          <w:p w:rsidR="00E60761" w:rsidRPr="00A726CE" w:rsidRDefault="00E60761" w:rsidP="00C94557">
            <w:pPr>
              <w:spacing w:line="288" w:lineRule="auto"/>
              <w:rPr>
                <w:rFonts w:eastAsia="楷体_GB2312"/>
                <w:sz w:val="24"/>
              </w:rPr>
            </w:pPr>
            <w:r w:rsidRPr="00A726CE">
              <w:rPr>
                <w:rFonts w:eastAsia="楷体_GB2312"/>
                <w:sz w:val="24"/>
              </w:rPr>
              <w:t>11</w:t>
            </w:r>
            <w:r w:rsidRPr="00A726CE">
              <w:rPr>
                <w:rFonts w:eastAsia="楷体_GB2312"/>
                <w:sz w:val="24"/>
              </w:rPr>
              <w:t>月上旬，与武汉同步</w:t>
            </w:r>
          </w:p>
        </w:tc>
      </w:tr>
    </w:tbl>
    <w:p w:rsidR="006D64AD" w:rsidRPr="00A726CE" w:rsidRDefault="006D64AD" w:rsidP="006D64AD">
      <w:pPr>
        <w:rPr>
          <w:rFonts w:eastAsia="楷体_GB2312"/>
          <w:sz w:val="24"/>
        </w:rPr>
      </w:pPr>
      <w:r w:rsidRPr="00A726CE">
        <w:rPr>
          <w:rFonts w:eastAsia="楷体_GB2312"/>
          <w:sz w:val="24"/>
        </w:rPr>
        <w:t>注：具体举办时间可能会有微调，详情请关注中华医学会继续教育栏目</w:t>
      </w:r>
      <w:r w:rsidR="009C25A3">
        <w:rPr>
          <w:rFonts w:eastAsia="楷体_GB2312" w:hint="eastAsia"/>
          <w:sz w:val="24"/>
        </w:rPr>
        <w:t>和</w:t>
      </w:r>
      <w:r w:rsidR="00A26410" w:rsidRPr="00A726CE">
        <w:rPr>
          <w:rFonts w:eastAsia="楷体_GB2312"/>
          <w:sz w:val="24"/>
        </w:rPr>
        <w:t>5C</w:t>
      </w:r>
      <w:r w:rsidR="00A26410" w:rsidRPr="00A726CE">
        <w:rPr>
          <w:rFonts w:eastAsia="楷体_GB2312"/>
          <w:sz w:val="24"/>
        </w:rPr>
        <w:t>网站</w:t>
      </w:r>
      <w:r w:rsidRPr="00A726CE">
        <w:rPr>
          <w:rFonts w:eastAsia="楷体_GB2312"/>
          <w:sz w:val="24"/>
        </w:rPr>
        <w:t>公布</w:t>
      </w:r>
      <w:r w:rsidRPr="00A726CE">
        <w:rPr>
          <w:rFonts w:eastAsia="楷体_GB2312"/>
          <w:sz w:val="24"/>
        </w:rPr>
        <w:lastRenderedPageBreak/>
        <w:t>的最新通知。</w:t>
      </w:r>
    </w:p>
    <w:p w:rsidR="00026741" w:rsidRPr="00A726CE" w:rsidRDefault="00026741" w:rsidP="00026741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招生规模</w:t>
      </w:r>
    </w:p>
    <w:p w:rsidR="00026741" w:rsidRPr="00A726CE" w:rsidRDefault="00026741" w:rsidP="00026741">
      <w:pPr>
        <w:spacing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为保证授课效果，</w:t>
      </w:r>
      <w:r w:rsidR="00424D45" w:rsidRPr="00A726CE">
        <w:rPr>
          <w:rFonts w:eastAsia="仿宋_GB2312"/>
          <w:sz w:val="24"/>
        </w:rPr>
        <w:t>培训</w:t>
      </w:r>
      <w:r w:rsidRPr="00A726CE">
        <w:rPr>
          <w:rFonts w:eastAsia="仿宋_GB2312"/>
          <w:sz w:val="24"/>
        </w:rPr>
        <w:t>班招生规模</w:t>
      </w:r>
      <w:r w:rsidR="00064D6D" w:rsidRPr="00A726CE">
        <w:rPr>
          <w:rFonts w:eastAsia="仿宋_GB2312"/>
          <w:sz w:val="24"/>
        </w:rPr>
        <w:t>严格</w:t>
      </w:r>
      <w:r w:rsidRPr="00A726CE">
        <w:rPr>
          <w:rFonts w:eastAsia="仿宋_GB2312"/>
          <w:sz w:val="24"/>
        </w:rPr>
        <w:t>控制在</w:t>
      </w:r>
      <w:r w:rsidR="00BC0309" w:rsidRPr="00A726CE">
        <w:rPr>
          <w:rFonts w:eastAsia="仿宋_GB2312"/>
          <w:sz w:val="24"/>
        </w:rPr>
        <w:t>200</w:t>
      </w:r>
      <w:r w:rsidRPr="00A726CE">
        <w:rPr>
          <w:rFonts w:eastAsia="仿宋_GB2312"/>
          <w:sz w:val="24"/>
        </w:rPr>
        <w:t>人以内</w:t>
      </w:r>
      <w:r w:rsidR="006513A8" w:rsidRPr="00A726CE">
        <w:rPr>
          <w:rFonts w:eastAsia="仿宋_GB2312"/>
          <w:sz w:val="24"/>
        </w:rPr>
        <w:t>。</w:t>
      </w:r>
    </w:p>
    <w:p w:rsidR="00431100" w:rsidRPr="00A726CE" w:rsidRDefault="00431100" w:rsidP="00431100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收费标准</w:t>
      </w:r>
    </w:p>
    <w:p w:rsidR="00431100" w:rsidRPr="00A726CE" w:rsidRDefault="00431100" w:rsidP="00431100">
      <w:pPr>
        <w:spacing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培训费</w:t>
      </w:r>
      <w:r w:rsidR="00A26410" w:rsidRPr="00A726CE">
        <w:rPr>
          <w:rFonts w:eastAsia="仿宋_GB2312"/>
          <w:sz w:val="24"/>
        </w:rPr>
        <w:t>105</w:t>
      </w:r>
      <w:r w:rsidRPr="00A726CE">
        <w:rPr>
          <w:rFonts w:eastAsia="仿宋_GB2312"/>
          <w:sz w:val="24"/>
        </w:rPr>
        <w:t>0</w:t>
      </w:r>
      <w:r w:rsidRPr="00A726CE">
        <w:rPr>
          <w:rFonts w:eastAsia="仿宋_GB2312"/>
          <w:sz w:val="24"/>
        </w:rPr>
        <w:t>元</w:t>
      </w:r>
      <w:r w:rsidRPr="00A726CE">
        <w:rPr>
          <w:rFonts w:eastAsia="仿宋_GB2312"/>
          <w:sz w:val="24"/>
        </w:rPr>
        <w:t>/</w:t>
      </w:r>
      <w:r w:rsidRPr="00A726CE">
        <w:rPr>
          <w:rFonts w:eastAsia="仿宋_GB2312"/>
          <w:sz w:val="24"/>
        </w:rPr>
        <w:t>人。食宿统一安排，费用自理。具体食宿标准见培训班的二轮通知。</w:t>
      </w:r>
    </w:p>
    <w:p w:rsidR="00A26410" w:rsidRPr="00A726CE" w:rsidRDefault="00A26410" w:rsidP="00431100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报名方式</w:t>
      </w:r>
    </w:p>
    <w:p w:rsidR="00A26410" w:rsidRPr="00A726CE" w:rsidRDefault="009C25A3" w:rsidP="009C25A3">
      <w:pPr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登录项目网站（</w:t>
      </w:r>
      <w:r w:rsidR="00A26410" w:rsidRPr="00A726CE">
        <w:rPr>
          <w:rFonts w:eastAsia="仿宋_GB2312"/>
          <w:sz w:val="24"/>
        </w:rPr>
        <w:t>5C.cmacme.org</w:t>
      </w:r>
      <w:r>
        <w:rPr>
          <w:rFonts w:eastAsia="仿宋_GB2312" w:hint="eastAsia"/>
          <w:sz w:val="24"/>
        </w:rPr>
        <w:t>）</w:t>
      </w:r>
      <w:r w:rsidR="00A26410" w:rsidRPr="00A726CE">
        <w:rPr>
          <w:rFonts w:eastAsia="仿宋_GB2312"/>
          <w:sz w:val="24"/>
        </w:rPr>
        <w:t>直接报名。</w:t>
      </w:r>
      <w:r>
        <w:rPr>
          <w:rFonts w:eastAsia="仿宋_GB2312" w:hint="eastAsia"/>
          <w:sz w:val="24"/>
        </w:rPr>
        <w:t>已网上报名的学员如需提前寄书服务请参见附件</w:t>
      </w:r>
      <w:r w:rsidR="001A1B32">
        <w:rPr>
          <w:rFonts w:eastAsia="仿宋_GB2312" w:hint="eastAsia"/>
          <w:sz w:val="24"/>
        </w:rPr>
        <w:t>“</w:t>
      </w:r>
      <w:r w:rsidR="001A1B32" w:rsidRPr="00C41688">
        <w:rPr>
          <w:rFonts w:eastAsia="仿宋_GB2312" w:hint="eastAsia"/>
          <w:b/>
          <w:sz w:val="24"/>
          <w:u w:val="single"/>
        </w:rPr>
        <w:t>2012</w:t>
      </w:r>
      <w:r w:rsidR="001A1B32" w:rsidRPr="00C41688">
        <w:rPr>
          <w:rFonts w:eastAsia="仿宋_GB2312" w:hint="eastAsia"/>
          <w:b/>
          <w:sz w:val="24"/>
          <w:u w:val="single"/>
        </w:rPr>
        <w:t>年重症医学专科资质培训教材邮寄须知</w:t>
      </w:r>
      <w:r w:rsidR="001A1B32">
        <w:rPr>
          <w:rFonts w:eastAsia="仿宋_GB2312" w:hint="eastAsia"/>
          <w:sz w:val="24"/>
        </w:rPr>
        <w:t>”</w:t>
      </w:r>
      <w:r>
        <w:rPr>
          <w:rFonts w:eastAsia="仿宋_GB2312" w:hint="eastAsia"/>
          <w:sz w:val="24"/>
        </w:rPr>
        <w:t>。</w:t>
      </w:r>
    </w:p>
    <w:p w:rsidR="00431100" w:rsidRPr="00A726CE" w:rsidRDefault="00431100" w:rsidP="00431100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证书</w:t>
      </w:r>
    </w:p>
    <w:p w:rsidR="000C010D" w:rsidRPr="00A726CE" w:rsidRDefault="00431100" w:rsidP="00E97503">
      <w:pPr>
        <w:spacing w:line="300" w:lineRule="auto"/>
        <w:ind w:firstLineChars="200" w:firstLine="48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培训考核合格者，可获得由中华医学会重症医学分会、组织管理部、继续教育部三部门签章的</w:t>
      </w:r>
      <w:r w:rsidR="008C0368">
        <w:rPr>
          <w:rFonts w:eastAsia="仿宋_GB2312" w:hint="eastAsia"/>
          <w:sz w:val="24"/>
        </w:rPr>
        <w:t>“</w:t>
      </w:r>
      <w:r w:rsidR="008A05A1" w:rsidRPr="00A726CE">
        <w:rPr>
          <w:rFonts w:eastAsia="仿宋_GB2312"/>
          <w:sz w:val="24"/>
        </w:rPr>
        <w:t>重症医学专科</w:t>
      </w:r>
      <w:r w:rsidR="003A2FB9" w:rsidRPr="00A726CE">
        <w:rPr>
          <w:rFonts w:eastAsia="仿宋_GB2312"/>
          <w:sz w:val="24"/>
        </w:rPr>
        <w:t>资质培训合格</w:t>
      </w:r>
      <w:r w:rsidR="00173F65" w:rsidRPr="00A726CE">
        <w:rPr>
          <w:rFonts w:eastAsia="仿宋_GB2312"/>
          <w:sz w:val="24"/>
        </w:rPr>
        <w:t>证</w:t>
      </w:r>
      <w:r w:rsidR="008C0368">
        <w:rPr>
          <w:rFonts w:eastAsia="仿宋_GB2312" w:hint="eastAsia"/>
          <w:sz w:val="24"/>
        </w:rPr>
        <w:t>”</w:t>
      </w:r>
      <w:r w:rsidR="006A3F2B" w:rsidRPr="00A726CE">
        <w:rPr>
          <w:rFonts w:eastAsia="仿宋_GB2312"/>
          <w:sz w:val="24"/>
        </w:rPr>
        <w:t>，证书印有照片，编号唯一</w:t>
      </w:r>
      <w:r w:rsidRPr="00A726CE">
        <w:rPr>
          <w:rFonts w:eastAsia="仿宋_GB2312"/>
          <w:sz w:val="24"/>
        </w:rPr>
        <w:t>。</w:t>
      </w:r>
    </w:p>
    <w:p w:rsidR="00026741" w:rsidRPr="00A726CE" w:rsidRDefault="00686523" w:rsidP="000C010D">
      <w:pPr>
        <w:numPr>
          <w:ilvl w:val="0"/>
          <w:numId w:val="2"/>
        </w:numPr>
        <w:spacing w:line="300" w:lineRule="auto"/>
        <w:rPr>
          <w:rFonts w:eastAsia="仿宋_GB2312"/>
          <w:b/>
          <w:sz w:val="24"/>
        </w:rPr>
      </w:pPr>
      <w:r w:rsidRPr="00A726CE">
        <w:rPr>
          <w:rFonts w:eastAsia="仿宋_GB2312"/>
          <w:b/>
          <w:sz w:val="24"/>
        </w:rPr>
        <w:t>会务组联系方式</w:t>
      </w:r>
    </w:p>
    <w:p w:rsidR="00686523" w:rsidRPr="00A726CE" w:rsidRDefault="00686523" w:rsidP="00686523">
      <w:pPr>
        <w:spacing w:line="300" w:lineRule="auto"/>
        <w:ind w:firstLineChars="225" w:firstLine="54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电</w:t>
      </w:r>
      <w:r w:rsidRPr="00A726CE">
        <w:rPr>
          <w:rFonts w:eastAsia="仿宋_GB2312"/>
          <w:sz w:val="24"/>
        </w:rPr>
        <w:t xml:space="preserve">    </w:t>
      </w:r>
      <w:r w:rsidRPr="00A726CE">
        <w:rPr>
          <w:rFonts w:eastAsia="仿宋_GB2312"/>
          <w:sz w:val="24"/>
        </w:rPr>
        <w:t>话：</w:t>
      </w:r>
      <w:r w:rsidRPr="00A726CE">
        <w:rPr>
          <w:rFonts w:eastAsia="仿宋_GB2312"/>
          <w:sz w:val="24"/>
        </w:rPr>
        <w:t>010-85158402</w:t>
      </w:r>
      <w:r w:rsidRPr="00A726CE">
        <w:rPr>
          <w:rFonts w:eastAsia="仿宋_GB2312"/>
          <w:sz w:val="24"/>
        </w:rPr>
        <w:t>，</w:t>
      </w:r>
      <w:r w:rsidRPr="00A726CE">
        <w:rPr>
          <w:rFonts w:eastAsia="仿宋_GB2312"/>
          <w:sz w:val="24"/>
        </w:rPr>
        <w:t>85158574</w:t>
      </w:r>
      <w:r w:rsidRPr="00A726CE">
        <w:rPr>
          <w:rFonts w:eastAsia="仿宋_GB2312"/>
          <w:sz w:val="24"/>
        </w:rPr>
        <w:t>，</w:t>
      </w:r>
      <w:r w:rsidRPr="00A726CE">
        <w:rPr>
          <w:rFonts w:eastAsia="仿宋_GB2312"/>
          <w:sz w:val="24"/>
        </w:rPr>
        <w:t>13521384795</w:t>
      </w:r>
    </w:p>
    <w:p w:rsidR="00686523" w:rsidRPr="00A726CE" w:rsidRDefault="00686523" w:rsidP="00686523">
      <w:pPr>
        <w:spacing w:line="300" w:lineRule="auto"/>
        <w:ind w:firstLineChars="225" w:firstLine="54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传</w:t>
      </w:r>
      <w:r w:rsidRPr="00A726CE">
        <w:rPr>
          <w:rFonts w:eastAsia="仿宋_GB2312"/>
          <w:sz w:val="24"/>
        </w:rPr>
        <w:t xml:space="preserve">    </w:t>
      </w:r>
      <w:r w:rsidRPr="00A726CE">
        <w:rPr>
          <w:rFonts w:eastAsia="仿宋_GB2312"/>
          <w:sz w:val="24"/>
        </w:rPr>
        <w:t>真：</w:t>
      </w:r>
      <w:r w:rsidRPr="00A726CE">
        <w:rPr>
          <w:rFonts w:eastAsia="仿宋_GB2312"/>
          <w:sz w:val="24"/>
        </w:rPr>
        <w:t>010-85158401</w:t>
      </w:r>
    </w:p>
    <w:p w:rsidR="00686523" w:rsidRPr="00A726CE" w:rsidRDefault="00686523" w:rsidP="00686523">
      <w:pPr>
        <w:spacing w:line="300" w:lineRule="auto"/>
        <w:ind w:firstLineChars="225" w:firstLine="54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联</w:t>
      </w:r>
      <w:r w:rsidRPr="00A726CE">
        <w:rPr>
          <w:rFonts w:eastAsia="仿宋_GB2312"/>
          <w:sz w:val="24"/>
        </w:rPr>
        <w:t xml:space="preserve"> </w:t>
      </w:r>
      <w:r w:rsidRPr="00A726CE">
        <w:rPr>
          <w:rFonts w:eastAsia="仿宋_GB2312"/>
          <w:sz w:val="24"/>
        </w:rPr>
        <w:t>系</w:t>
      </w:r>
      <w:r w:rsidRPr="00A726CE">
        <w:rPr>
          <w:rFonts w:eastAsia="仿宋_GB2312"/>
          <w:sz w:val="24"/>
        </w:rPr>
        <w:t xml:space="preserve"> </w:t>
      </w:r>
      <w:r w:rsidRPr="00A726CE">
        <w:rPr>
          <w:rFonts w:eastAsia="仿宋_GB2312"/>
          <w:sz w:val="24"/>
        </w:rPr>
        <w:t>人：梁鸿、王丹</w:t>
      </w:r>
    </w:p>
    <w:p w:rsidR="00686523" w:rsidRPr="00A726CE" w:rsidRDefault="00686523" w:rsidP="00686523">
      <w:pPr>
        <w:spacing w:line="300" w:lineRule="auto"/>
        <w:ind w:firstLineChars="225" w:firstLine="540"/>
        <w:rPr>
          <w:rFonts w:eastAsia="仿宋_GB2312"/>
          <w:sz w:val="24"/>
        </w:rPr>
      </w:pPr>
      <w:r w:rsidRPr="00A726CE">
        <w:rPr>
          <w:rFonts w:eastAsia="仿宋_GB2312"/>
          <w:sz w:val="24"/>
        </w:rPr>
        <w:t>电子邮箱：</w:t>
      </w:r>
      <w:r w:rsidRPr="00C41688">
        <w:rPr>
          <w:rFonts w:eastAsia="仿宋_GB2312"/>
          <w:sz w:val="24"/>
        </w:rPr>
        <w:t>lianghong213@163.com</w:t>
      </w:r>
    </w:p>
    <w:p w:rsidR="000C5D26" w:rsidRDefault="000C5D26" w:rsidP="000C5D26">
      <w:pPr>
        <w:spacing w:line="300" w:lineRule="auto"/>
        <w:rPr>
          <w:rFonts w:eastAsia="仿宋_GB2312"/>
          <w:b/>
          <w:sz w:val="24"/>
        </w:rPr>
      </w:pPr>
    </w:p>
    <w:p w:rsidR="009C25A3" w:rsidRDefault="009C25A3" w:rsidP="000C5D26">
      <w:pPr>
        <w:spacing w:line="300" w:lineRule="auto"/>
        <w:rPr>
          <w:rFonts w:eastAsia="仿宋_GB2312"/>
          <w:b/>
          <w:sz w:val="24"/>
        </w:rPr>
      </w:pPr>
    </w:p>
    <w:p w:rsidR="00E50C5A" w:rsidRPr="00E50C5A" w:rsidRDefault="00E50C5A" w:rsidP="000C5D26">
      <w:pPr>
        <w:spacing w:line="300" w:lineRule="auto"/>
        <w:rPr>
          <w:rFonts w:eastAsia="仿宋_GB2312"/>
          <w:sz w:val="24"/>
        </w:rPr>
      </w:pPr>
      <w:r w:rsidRPr="00E50C5A">
        <w:rPr>
          <w:rFonts w:eastAsia="仿宋_GB2312" w:hint="eastAsia"/>
          <w:sz w:val="24"/>
        </w:rPr>
        <w:t>附件：</w:t>
      </w:r>
      <w:r w:rsidRPr="00E50C5A">
        <w:rPr>
          <w:rFonts w:eastAsia="仿宋_GB2312" w:hint="eastAsia"/>
          <w:sz w:val="24"/>
        </w:rPr>
        <w:t>2012</w:t>
      </w:r>
      <w:r w:rsidRPr="00E50C5A">
        <w:rPr>
          <w:rFonts w:eastAsia="仿宋_GB2312" w:hint="eastAsia"/>
          <w:sz w:val="24"/>
        </w:rPr>
        <w:t>年重症医学专科资质培训教材邮寄须知</w:t>
      </w:r>
    </w:p>
    <w:p w:rsidR="00214DE1" w:rsidRPr="00A726CE" w:rsidRDefault="00214DE1" w:rsidP="00EA645C">
      <w:pPr>
        <w:spacing w:beforeLines="50" w:afterLines="50"/>
        <w:ind w:left="1260"/>
        <w:rPr>
          <w:rFonts w:eastAsia="仿宋_GB2312"/>
          <w:sz w:val="24"/>
        </w:rPr>
      </w:pPr>
    </w:p>
    <w:p w:rsidR="000C010D" w:rsidRPr="00A726CE" w:rsidRDefault="000C010D" w:rsidP="001B5870">
      <w:pPr>
        <w:spacing w:line="500" w:lineRule="exact"/>
        <w:ind w:right="62"/>
        <w:jc w:val="right"/>
        <w:rPr>
          <w:rFonts w:eastAsia="仿宋_GB2312"/>
          <w:bCs/>
          <w:sz w:val="24"/>
        </w:rPr>
      </w:pPr>
    </w:p>
    <w:p w:rsidR="00F91986" w:rsidRPr="00A726CE" w:rsidRDefault="00F91986" w:rsidP="001B5870">
      <w:pPr>
        <w:spacing w:line="500" w:lineRule="exact"/>
        <w:ind w:right="62"/>
        <w:jc w:val="right"/>
        <w:rPr>
          <w:rFonts w:eastAsia="仿宋_GB2312"/>
          <w:bCs/>
          <w:sz w:val="24"/>
        </w:rPr>
      </w:pPr>
    </w:p>
    <w:p w:rsidR="001B5870" w:rsidRPr="00A726CE" w:rsidRDefault="001B5870" w:rsidP="001B5870">
      <w:pPr>
        <w:spacing w:line="500" w:lineRule="exact"/>
        <w:ind w:right="62"/>
        <w:jc w:val="right"/>
        <w:rPr>
          <w:rFonts w:eastAsia="仿宋_GB2312"/>
          <w:sz w:val="24"/>
        </w:rPr>
      </w:pPr>
      <w:r w:rsidRPr="00A726CE">
        <w:rPr>
          <w:rFonts w:eastAsia="仿宋_GB2312"/>
          <w:bCs/>
          <w:sz w:val="24"/>
        </w:rPr>
        <w:t>中华医学会重症医学</w:t>
      </w:r>
      <w:r w:rsidR="00E02639" w:rsidRPr="00A726CE">
        <w:rPr>
          <w:rFonts w:eastAsia="仿宋_GB2312"/>
          <w:bCs/>
          <w:sz w:val="24"/>
        </w:rPr>
        <w:t>分</w:t>
      </w:r>
      <w:r w:rsidRPr="00A726CE">
        <w:rPr>
          <w:rFonts w:eastAsia="仿宋_GB2312"/>
          <w:bCs/>
          <w:sz w:val="24"/>
        </w:rPr>
        <w:t>会</w:t>
      </w:r>
      <w:r w:rsidRPr="00A726CE">
        <w:rPr>
          <w:rFonts w:eastAsia="仿宋_GB2312"/>
          <w:bCs/>
          <w:sz w:val="24"/>
        </w:rPr>
        <w:t xml:space="preserve">    </w:t>
      </w:r>
      <w:r w:rsidRPr="00A726CE">
        <w:rPr>
          <w:rFonts w:eastAsia="仿宋_GB2312"/>
          <w:bCs/>
          <w:sz w:val="24"/>
        </w:rPr>
        <w:t>中华医学会组织管理部</w:t>
      </w:r>
      <w:r w:rsidR="00582A48" w:rsidRPr="00A726CE">
        <w:rPr>
          <w:rFonts w:eastAsia="仿宋_GB2312"/>
          <w:bCs/>
          <w:sz w:val="24"/>
        </w:rPr>
        <w:t xml:space="preserve"> </w:t>
      </w:r>
      <w:r w:rsidRPr="00A726CE">
        <w:rPr>
          <w:rFonts w:eastAsia="仿宋_GB2312"/>
          <w:bCs/>
          <w:sz w:val="24"/>
        </w:rPr>
        <w:t xml:space="preserve">     </w:t>
      </w:r>
      <w:r w:rsidRPr="00A726CE">
        <w:rPr>
          <w:rFonts w:eastAsia="仿宋_GB2312"/>
          <w:bCs/>
          <w:sz w:val="24"/>
        </w:rPr>
        <w:t>中华医学会</w:t>
      </w:r>
      <w:r w:rsidRPr="00A726CE">
        <w:rPr>
          <w:rFonts w:eastAsia="仿宋_GB2312"/>
          <w:sz w:val="24"/>
        </w:rPr>
        <w:t>继续教育部</w:t>
      </w:r>
    </w:p>
    <w:p w:rsidR="00021C81" w:rsidRPr="00A726CE" w:rsidRDefault="00021C81" w:rsidP="00021C81">
      <w:pPr>
        <w:spacing w:line="300" w:lineRule="auto"/>
        <w:ind w:right="61" w:firstLineChars="50" w:firstLine="120"/>
        <w:rPr>
          <w:rFonts w:eastAsia="仿宋_GB2312"/>
          <w:bCs/>
          <w:sz w:val="24"/>
        </w:rPr>
      </w:pPr>
    </w:p>
    <w:p w:rsidR="00021C81" w:rsidRPr="00A726CE" w:rsidRDefault="008A05A1" w:rsidP="000C010D">
      <w:pPr>
        <w:spacing w:line="300" w:lineRule="auto"/>
        <w:ind w:right="61" w:firstLineChars="50" w:firstLine="120"/>
        <w:jc w:val="right"/>
        <w:rPr>
          <w:rFonts w:eastAsia="黑体"/>
          <w:sz w:val="24"/>
        </w:rPr>
      </w:pPr>
      <w:r w:rsidRPr="00A726CE">
        <w:rPr>
          <w:rFonts w:eastAsia="仿宋_GB2312"/>
          <w:bCs/>
          <w:sz w:val="24"/>
        </w:rPr>
        <w:t>二</w:t>
      </w:r>
      <w:r w:rsidRPr="00A726CE">
        <w:rPr>
          <w:rFonts w:eastAsia="仿宋_GB2312"/>
          <w:bCs/>
          <w:sz w:val="24"/>
        </w:rPr>
        <w:t>○</w:t>
      </w:r>
      <w:r w:rsidRPr="00A726CE">
        <w:rPr>
          <w:rFonts w:eastAsia="仿宋_GB2312"/>
          <w:bCs/>
          <w:sz w:val="24"/>
        </w:rPr>
        <w:t>一</w:t>
      </w:r>
      <w:r w:rsidR="00A26410" w:rsidRPr="00A726CE">
        <w:rPr>
          <w:rFonts w:eastAsia="仿宋_GB2312"/>
          <w:bCs/>
          <w:sz w:val="24"/>
        </w:rPr>
        <w:t>二</w:t>
      </w:r>
      <w:r w:rsidR="00A4219F" w:rsidRPr="00A726CE">
        <w:rPr>
          <w:rFonts w:eastAsia="仿宋_GB2312"/>
          <w:bCs/>
          <w:sz w:val="24"/>
        </w:rPr>
        <w:t>年</w:t>
      </w:r>
      <w:r w:rsidR="00A26410" w:rsidRPr="00A726CE">
        <w:rPr>
          <w:rFonts w:eastAsia="仿宋_GB2312"/>
          <w:bCs/>
          <w:sz w:val="24"/>
        </w:rPr>
        <w:t>一月三十</w:t>
      </w:r>
      <w:r w:rsidR="00021C81" w:rsidRPr="00A726CE">
        <w:rPr>
          <w:rFonts w:eastAsia="仿宋_GB2312"/>
          <w:bCs/>
          <w:sz w:val="24"/>
        </w:rPr>
        <w:t>日</w:t>
      </w:r>
    </w:p>
    <w:p w:rsidR="00DE69B8" w:rsidRPr="00A726CE" w:rsidRDefault="00DE69B8" w:rsidP="0003670F">
      <w:pPr>
        <w:spacing w:line="400" w:lineRule="exact"/>
      </w:pPr>
    </w:p>
    <w:sectPr w:rsidR="00DE69B8" w:rsidRPr="00A726CE" w:rsidSect="00C44A7B">
      <w:footerReference w:type="even" r:id="rId8"/>
      <w:footerReference w:type="default" r:id="rId9"/>
      <w:pgSz w:w="11906" w:h="16838"/>
      <w:pgMar w:top="1091" w:right="1418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2A4" w:rsidRDefault="000412A4">
      <w:r>
        <w:separator/>
      </w:r>
    </w:p>
  </w:endnote>
  <w:endnote w:type="continuationSeparator" w:id="1">
    <w:p w:rsidR="000412A4" w:rsidRDefault="0004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AEA" w:rsidRDefault="0089760D" w:rsidP="00B140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7A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C37">
      <w:rPr>
        <w:rStyle w:val="a7"/>
        <w:noProof/>
      </w:rPr>
      <w:t>3</w:t>
    </w:r>
    <w:r>
      <w:rPr>
        <w:rStyle w:val="a7"/>
      </w:rPr>
      <w:fldChar w:fldCharType="end"/>
    </w:r>
  </w:p>
  <w:p w:rsidR="00617AEA" w:rsidRDefault="00617AEA" w:rsidP="0012248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AEA" w:rsidRDefault="0089760D" w:rsidP="00B140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7A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645C">
      <w:rPr>
        <w:rStyle w:val="a7"/>
        <w:noProof/>
      </w:rPr>
      <w:t>1</w:t>
    </w:r>
    <w:r>
      <w:rPr>
        <w:rStyle w:val="a7"/>
      </w:rPr>
      <w:fldChar w:fldCharType="end"/>
    </w:r>
  </w:p>
  <w:p w:rsidR="00617AEA" w:rsidRDefault="00617AEA" w:rsidP="0012248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2A4" w:rsidRDefault="000412A4">
      <w:r>
        <w:separator/>
      </w:r>
    </w:p>
  </w:footnote>
  <w:footnote w:type="continuationSeparator" w:id="1">
    <w:p w:rsidR="000412A4" w:rsidRDefault="00041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79C"/>
    <w:multiLevelType w:val="hybridMultilevel"/>
    <w:tmpl w:val="153AAA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6F8A616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B92075"/>
    <w:multiLevelType w:val="multilevel"/>
    <w:tmpl w:val="153AAA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4F077A6"/>
    <w:multiLevelType w:val="hybridMultilevel"/>
    <w:tmpl w:val="EC180C08"/>
    <w:lvl w:ilvl="0" w:tplc="6A1046C8">
      <w:start w:val="1"/>
      <w:numFmt w:val="bullet"/>
      <w:lvlText w:val="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>
    <w:nsid w:val="17321147"/>
    <w:multiLevelType w:val="multilevel"/>
    <w:tmpl w:val="F000C4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83B53C5"/>
    <w:multiLevelType w:val="multilevel"/>
    <w:tmpl w:val="25F6B1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32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E613700"/>
    <w:multiLevelType w:val="multilevel"/>
    <w:tmpl w:val="066814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18938D7"/>
    <w:multiLevelType w:val="multilevel"/>
    <w:tmpl w:val="2A10F3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23332D0"/>
    <w:multiLevelType w:val="hybridMultilevel"/>
    <w:tmpl w:val="166EF2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7935961"/>
    <w:multiLevelType w:val="multilevel"/>
    <w:tmpl w:val="C81C88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0F72DCD"/>
    <w:multiLevelType w:val="hybridMultilevel"/>
    <w:tmpl w:val="B31E2F4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0">
    <w:nsid w:val="38611A89"/>
    <w:multiLevelType w:val="multilevel"/>
    <w:tmpl w:val="AC084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28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A087551"/>
    <w:multiLevelType w:val="hybridMultilevel"/>
    <w:tmpl w:val="94286C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39A635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AC4F39"/>
    <w:multiLevelType w:val="multilevel"/>
    <w:tmpl w:val="EDD6B7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D941312"/>
    <w:multiLevelType w:val="hybridMultilevel"/>
    <w:tmpl w:val="A2366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56F0183"/>
    <w:multiLevelType w:val="multilevel"/>
    <w:tmpl w:val="813657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A0F70E8"/>
    <w:multiLevelType w:val="multilevel"/>
    <w:tmpl w:val="813657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F2E5AEA"/>
    <w:multiLevelType w:val="hybridMultilevel"/>
    <w:tmpl w:val="0E9CF994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7">
    <w:nsid w:val="5A344BE7"/>
    <w:multiLevelType w:val="hybridMultilevel"/>
    <w:tmpl w:val="25F6B1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106A7BA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E6E73E4"/>
    <w:multiLevelType w:val="hybridMultilevel"/>
    <w:tmpl w:val="8252F3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5FB55F4F"/>
    <w:multiLevelType w:val="hybridMultilevel"/>
    <w:tmpl w:val="39524E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48A3A1A">
      <w:start w:val="1"/>
      <w:numFmt w:val="bullet"/>
      <w:lvlText w:val="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1DF7FD3"/>
    <w:multiLevelType w:val="hybridMultilevel"/>
    <w:tmpl w:val="3A227C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1">
    <w:nsid w:val="62040D0D"/>
    <w:multiLevelType w:val="hybridMultilevel"/>
    <w:tmpl w:val="AC0847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84AE1CE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82D531E"/>
    <w:multiLevelType w:val="multilevel"/>
    <w:tmpl w:val="39524E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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BCF2FC2"/>
    <w:multiLevelType w:val="hybridMultilevel"/>
    <w:tmpl w:val="287EBF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39A635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B95898"/>
    <w:multiLevelType w:val="multilevel"/>
    <w:tmpl w:val="EDD6B7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FD43A51"/>
    <w:multiLevelType w:val="hybridMultilevel"/>
    <w:tmpl w:val="F000C4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20A4AAA">
      <w:start w:val="1"/>
      <w:numFmt w:val="bullet"/>
      <w:lvlText w:val="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6"/>
  </w:num>
  <w:num w:numId="5">
    <w:abstractNumId w:val="19"/>
  </w:num>
  <w:num w:numId="6">
    <w:abstractNumId w:val="22"/>
  </w:num>
  <w:num w:numId="7">
    <w:abstractNumId w:val="25"/>
  </w:num>
  <w:num w:numId="8">
    <w:abstractNumId w:val="3"/>
  </w:num>
  <w:num w:numId="9">
    <w:abstractNumId w:val="0"/>
  </w:num>
  <w:num w:numId="10">
    <w:abstractNumId w:val="1"/>
  </w:num>
  <w:num w:numId="11">
    <w:abstractNumId w:val="17"/>
  </w:num>
  <w:num w:numId="12">
    <w:abstractNumId w:val="4"/>
  </w:num>
  <w:num w:numId="13">
    <w:abstractNumId w:val="21"/>
  </w:num>
  <w:num w:numId="14">
    <w:abstractNumId w:val="10"/>
  </w:num>
  <w:num w:numId="15">
    <w:abstractNumId w:val="11"/>
  </w:num>
  <w:num w:numId="16">
    <w:abstractNumId w:val="24"/>
  </w:num>
  <w:num w:numId="17">
    <w:abstractNumId w:val="2"/>
  </w:num>
  <w:num w:numId="18">
    <w:abstractNumId w:val="12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  <w:num w:numId="23">
    <w:abstractNumId w:val="9"/>
  </w:num>
  <w:num w:numId="24">
    <w:abstractNumId w:val="7"/>
  </w:num>
  <w:num w:numId="25">
    <w:abstractNumId w:val="1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25B"/>
    <w:rsid w:val="00006A58"/>
    <w:rsid w:val="00006D9E"/>
    <w:rsid w:val="000116B1"/>
    <w:rsid w:val="00015859"/>
    <w:rsid w:val="00021C81"/>
    <w:rsid w:val="00026741"/>
    <w:rsid w:val="00033FAA"/>
    <w:rsid w:val="0003670F"/>
    <w:rsid w:val="000412A4"/>
    <w:rsid w:val="00046178"/>
    <w:rsid w:val="00047A47"/>
    <w:rsid w:val="00056190"/>
    <w:rsid w:val="000565EC"/>
    <w:rsid w:val="000568E2"/>
    <w:rsid w:val="00062756"/>
    <w:rsid w:val="00064D6D"/>
    <w:rsid w:val="000702DB"/>
    <w:rsid w:val="00072EB6"/>
    <w:rsid w:val="00083EA2"/>
    <w:rsid w:val="00084919"/>
    <w:rsid w:val="000A2F18"/>
    <w:rsid w:val="000B2A41"/>
    <w:rsid w:val="000C010D"/>
    <w:rsid w:val="000C5D26"/>
    <w:rsid w:val="000D1A52"/>
    <w:rsid w:val="000E197B"/>
    <w:rsid w:val="000E3800"/>
    <w:rsid w:val="000F3716"/>
    <w:rsid w:val="000F47D4"/>
    <w:rsid w:val="00103352"/>
    <w:rsid w:val="00117829"/>
    <w:rsid w:val="00122480"/>
    <w:rsid w:val="00126710"/>
    <w:rsid w:val="001319C1"/>
    <w:rsid w:val="00140695"/>
    <w:rsid w:val="0015731C"/>
    <w:rsid w:val="00166693"/>
    <w:rsid w:val="0017251B"/>
    <w:rsid w:val="00172C07"/>
    <w:rsid w:val="00173F65"/>
    <w:rsid w:val="00176798"/>
    <w:rsid w:val="0018493A"/>
    <w:rsid w:val="00187CDE"/>
    <w:rsid w:val="001A1B32"/>
    <w:rsid w:val="001B0B74"/>
    <w:rsid w:val="001B5870"/>
    <w:rsid w:val="001C0F68"/>
    <w:rsid w:val="001C54F5"/>
    <w:rsid w:val="001D48B6"/>
    <w:rsid w:val="001D61D4"/>
    <w:rsid w:val="001E30DB"/>
    <w:rsid w:val="001E56D9"/>
    <w:rsid w:val="001F6562"/>
    <w:rsid w:val="00210107"/>
    <w:rsid w:val="00214DE1"/>
    <w:rsid w:val="002230CF"/>
    <w:rsid w:val="0023449F"/>
    <w:rsid w:val="00237C37"/>
    <w:rsid w:val="0025413A"/>
    <w:rsid w:val="00260A3D"/>
    <w:rsid w:val="00266155"/>
    <w:rsid w:val="0028625C"/>
    <w:rsid w:val="00293229"/>
    <w:rsid w:val="002A19C3"/>
    <w:rsid w:val="002A2A17"/>
    <w:rsid w:val="002B307A"/>
    <w:rsid w:val="002C6115"/>
    <w:rsid w:val="002E0B77"/>
    <w:rsid w:val="002F13B7"/>
    <w:rsid w:val="002F203A"/>
    <w:rsid w:val="002F7E09"/>
    <w:rsid w:val="0031504F"/>
    <w:rsid w:val="00325D37"/>
    <w:rsid w:val="003434F0"/>
    <w:rsid w:val="00371F54"/>
    <w:rsid w:val="00376A98"/>
    <w:rsid w:val="00385927"/>
    <w:rsid w:val="003867A2"/>
    <w:rsid w:val="00394BF1"/>
    <w:rsid w:val="00394E34"/>
    <w:rsid w:val="003A2927"/>
    <w:rsid w:val="003A2FB9"/>
    <w:rsid w:val="003D6E94"/>
    <w:rsid w:val="003E0A41"/>
    <w:rsid w:val="003F2134"/>
    <w:rsid w:val="003F6194"/>
    <w:rsid w:val="00411BA7"/>
    <w:rsid w:val="00424D45"/>
    <w:rsid w:val="00431100"/>
    <w:rsid w:val="0045190F"/>
    <w:rsid w:val="004635AA"/>
    <w:rsid w:val="00464A80"/>
    <w:rsid w:val="0047528D"/>
    <w:rsid w:val="00476DAF"/>
    <w:rsid w:val="00481AAE"/>
    <w:rsid w:val="00487AFC"/>
    <w:rsid w:val="0049596B"/>
    <w:rsid w:val="00497653"/>
    <w:rsid w:val="004B4E66"/>
    <w:rsid w:val="004B6DF6"/>
    <w:rsid w:val="004C3FCC"/>
    <w:rsid w:val="004E3182"/>
    <w:rsid w:val="004E6745"/>
    <w:rsid w:val="004F6BC0"/>
    <w:rsid w:val="00515ECD"/>
    <w:rsid w:val="00517DFE"/>
    <w:rsid w:val="00520F0A"/>
    <w:rsid w:val="005233C9"/>
    <w:rsid w:val="00524771"/>
    <w:rsid w:val="00542AFE"/>
    <w:rsid w:val="00546748"/>
    <w:rsid w:val="00554DE8"/>
    <w:rsid w:val="00560A8C"/>
    <w:rsid w:val="00566F07"/>
    <w:rsid w:val="00582A48"/>
    <w:rsid w:val="00582F2E"/>
    <w:rsid w:val="00584A92"/>
    <w:rsid w:val="00587B1A"/>
    <w:rsid w:val="005945F3"/>
    <w:rsid w:val="005959C3"/>
    <w:rsid w:val="005A09C8"/>
    <w:rsid w:val="005A1B73"/>
    <w:rsid w:val="005A691A"/>
    <w:rsid w:val="005B1BC4"/>
    <w:rsid w:val="005B7414"/>
    <w:rsid w:val="005C0319"/>
    <w:rsid w:val="005D1F19"/>
    <w:rsid w:val="005D640A"/>
    <w:rsid w:val="005E2CD0"/>
    <w:rsid w:val="005E32C7"/>
    <w:rsid w:val="005E5DDA"/>
    <w:rsid w:val="005E63D0"/>
    <w:rsid w:val="005F023C"/>
    <w:rsid w:val="005F6803"/>
    <w:rsid w:val="005F7EA9"/>
    <w:rsid w:val="00600E41"/>
    <w:rsid w:val="00604AE0"/>
    <w:rsid w:val="0060729E"/>
    <w:rsid w:val="00607A18"/>
    <w:rsid w:val="00617AEA"/>
    <w:rsid w:val="00637B3D"/>
    <w:rsid w:val="00646FE0"/>
    <w:rsid w:val="006513A8"/>
    <w:rsid w:val="00652A53"/>
    <w:rsid w:val="00664345"/>
    <w:rsid w:val="00674C48"/>
    <w:rsid w:val="00675A17"/>
    <w:rsid w:val="00684241"/>
    <w:rsid w:val="00686523"/>
    <w:rsid w:val="006867C7"/>
    <w:rsid w:val="006A13BC"/>
    <w:rsid w:val="006A3F2B"/>
    <w:rsid w:val="006C6AB2"/>
    <w:rsid w:val="006C72DE"/>
    <w:rsid w:val="006C75E6"/>
    <w:rsid w:val="006C7B5B"/>
    <w:rsid w:val="006D64AD"/>
    <w:rsid w:val="006E1217"/>
    <w:rsid w:val="006E4535"/>
    <w:rsid w:val="006E7FD6"/>
    <w:rsid w:val="006F2656"/>
    <w:rsid w:val="006F4E1B"/>
    <w:rsid w:val="006F633A"/>
    <w:rsid w:val="007223C9"/>
    <w:rsid w:val="00724A6F"/>
    <w:rsid w:val="007309E3"/>
    <w:rsid w:val="00741D20"/>
    <w:rsid w:val="00742A0A"/>
    <w:rsid w:val="00754207"/>
    <w:rsid w:val="00763EFA"/>
    <w:rsid w:val="00770085"/>
    <w:rsid w:val="00785C25"/>
    <w:rsid w:val="00787118"/>
    <w:rsid w:val="00796ECD"/>
    <w:rsid w:val="007B17C1"/>
    <w:rsid w:val="007C02BA"/>
    <w:rsid w:val="007D32F6"/>
    <w:rsid w:val="007E6388"/>
    <w:rsid w:val="007F48F3"/>
    <w:rsid w:val="00821B12"/>
    <w:rsid w:val="008228A0"/>
    <w:rsid w:val="008234AF"/>
    <w:rsid w:val="00823F5E"/>
    <w:rsid w:val="00826746"/>
    <w:rsid w:val="00836297"/>
    <w:rsid w:val="008366BE"/>
    <w:rsid w:val="00844EFC"/>
    <w:rsid w:val="00845DAC"/>
    <w:rsid w:val="00853B20"/>
    <w:rsid w:val="0085679A"/>
    <w:rsid w:val="00856F50"/>
    <w:rsid w:val="00863238"/>
    <w:rsid w:val="00884419"/>
    <w:rsid w:val="008869A1"/>
    <w:rsid w:val="0089760D"/>
    <w:rsid w:val="008A05A1"/>
    <w:rsid w:val="008B7C7B"/>
    <w:rsid w:val="008C0368"/>
    <w:rsid w:val="008E0ABC"/>
    <w:rsid w:val="008E0C6F"/>
    <w:rsid w:val="008E1904"/>
    <w:rsid w:val="008E1F7F"/>
    <w:rsid w:val="0090774F"/>
    <w:rsid w:val="00907C78"/>
    <w:rsid w:val="009130A9"/>
    <w:rsid w:val="00916AED"/>
    <w:rsid w:val="009203F5"/>
    <w:rsid w:val="0092566B"/>
    <w:rsid w:val="00930170"/>
    <w:rsid w:val="0094052C"/>
    <w:rsid w:val="00940BB2"/>
    <w:rsid w:val="0094207A"/>
    <w:rsid w:val="009515F6"/>
    <w:rsid w:val="009525DC"/>
    <w:rsid w:val="00956101"/>
    <w:rsid w:val="00965FEF"/>
    <w:rsid w:val="00977072"/>
    <w:rsid w:val="00980EA9"/>
    <w:rsid w:val="00984CBC"/>
    <w:rsid w:val="0099582C"/>
    <w:rsid w:val="009A0FAF"/>
    <w:rsid w:val="009A6E97"/>
    <w:rsid w:val="009C25A3"/>
    <w:rsid w:val="009D412A"/>
    <w:rsid w:val="009D7AFD"/>
    <w:rsid w:val="009E2548"/>
    <w:rsid w:val="009E3201"/>
    <w:rsid w:val="009F3294"/>
    <w:rsid w:val="009F3523"/>
    <w:rsid w:val="00A04C5D"/>
    <w:rsid w:val="00A1690C"/>
    <w:rsid w:val="00A25A45"/>
    <w:rsid w:val="00A26400"/>
    <w:rsid w:val="00A26410"/>
    <w:rsid w:val="00A31F7E"/>
    <w:rsid w:val="00A3319A"/>
    <w:rsid w:val="00A4219F"/>
    <w:rsid w:val="00A43C6E"/>
    <w:rsid w:val="00A6404F"/>
    <w:rsid w:val="00A726CE"/>
    <w:rsid w:val="00A81542"/>
    <w:rsid w:val="00A8290A"/>
    <w:rsid w:val="00A936A9"/>
    <w:rsid w:val="00A96D79"/>
    <w:rsid w:val="00AA6B15"/>
    <w:rsid w:val="00AB532E"/>
    <w:rsid w:val="00B051E0"/>
    <w:rsid w:val="00B140DA"/>
    <w:rsid w:val="00B36DC3"/>
    <w:rsid w:val="00B40145"/>
    <w:rsid w:val="00B43A0D"/>
    <w:rsid w:val="00B4402E"/>
    <w:rsid w:val="00B4596D"/>
    <w:rsid w:val="00B50629"/>
    <w:rsid w:val="00B60858"/>
    <w:rsid w:val="00B620FD"/>
    <w:rsid w:val="00B671B6"/>
    <w:rsid w:val="00B7460A"/>
    <w:rsid w:val="00B74A4B"/>
    <w:rsid w:val="00B74ECF"/>
    <w:rsid w:val="00BA4F29"/>
    <w:rsid w:val="00BA532E"/>
    <w:rsid w:val="00BC0309"/>
    <w:rsid w:val="00BC0D4C"/>
    <w:rsid w:val="00BC2128"/>
    <w:rsid w:val="00BC3B62"/>
    <w:rsid w:val="00BD14B6"/>
    <w:rsid w:val="00BE425B"/>
    <w:rsid w:val="00BF2269"/>
    <w:rsid w:val="00BF25EF"/>
    <w:rsid w:val="00BF47D2"/>
    <w:rsid w:val="00C10AA9"/>
    <w:rsid w:val="00C15DEA"/>
    <w:rsid w:val="00C27588"/>
    <w:rsid w:val="00C41688"/>
    <w:rsid w:val="00C4414C"/>
    <w:rsid w:val="00C44A7B"/>
    <w:rsid w:val="00C47924"/>
    <w:rsid w:val="00C5663B"/>
    <w:rsid w:val="00C62E41"/>
    <w:rsid w:val="00C6501D"/>
    <w:rsid w:val="00C76F08"/>
    <w:rsid w:val="00C84F19"/>
    <w:rsid w:val="00C94557"/>
    <w:rsid w:val="00C96631"/>
    <w:rsid w:val="00CA3C32"/>
    <w:rsid w:val="00CA3E74"/>
    <w:rsid w:val="00CB6FEE"/>
    <w:rsid w:val="00CC4A36"/>
    <w:rsid w:val="00CC6BF4"/>
    <w:rsid w:val="00CD6446"/>
    <w:rsid w:val="00CE7C9C"/>
    <w:rsid w:val="00CF62E4"/>
    <w:rsid w:val="00D033F1"/>
    <w:rsid w:val="00D0494E"/>
    <w:rsid w:val="00D07E30"/>
    <w:rsid w:val="00D1559B"/>
    <w:rsid w:val="00D160E5"/>
    <w:rsid w:val="00D17E91"/>
    <w:rsid w:val="00D20791"/>
    <w:rsid w:val="00D23FF5"/>
    <w:rsid w:val="00D31A4A"/>
    <w:rsid w:val="00D34F11"/>
    <w:rsid w:val="00D42FBA"/>
    <w:rsid w:val="00D61021"/>
    <w:rsid w:val="00D6155F"/>
    <w:rsid w:val="00D65271"/>
    <w:rsid w:val="00D66552"/>
    <w:rsid w:val="00D70DE8"/>
    <w:rsid w:val="00D76559"/>
    <w:rsid w:val="00D779A2"/>
    <w:rsid w:val="00D85869"/>
    <w:rsid w:val="00D90B8E"/>
    <w:rsid w:val="00D92F93"/>
    <w:rsid w:val="00D95C8D"/>
    <w:rsid w:val="00DA6979"/>
    <w:rsid w:val="00DA6B97"/>
    <w:rsid w:val="00DB51F2"/>
    <w:rsid w:val="00DB651E"/>
    <w:rsid w:val="00DB7A1E"/>
    <w:rsid w:val="00DC0136"/>
    <w:rsid w:val="00DC531B"/>
    <w:rsid w:val="00DD437F"/>
    <w:rsid w:val="00DE104B"/>
    <w:rsid w:val="00DE122C"/>
    <w:rsid w:val="00DE69B8"/>
    <w:rsid w:val="00E02015"/>
    <w:rsid w:val="00E02639"/>
    <w:rsid w:val="00E07AD7"/>
    <w:rsid w:val="00E3299D"/>
    <w:rsid w:val="00E50C5A"/>
    <w:rsid w:val="00E51A2B"/>
    <w:rsid w:val="00E52DD6"/>
    <w:rsid w:val="00E52FC3"/>
    <w:rsid w:val="00E558AE"/>
    <w:rsid w:val="00E606FB"/>
    <w:rsid w:val="00E60761"/>
    <w:rsid w:val="00E66399"/>
    <w:rsid w:val="00E71670"/>
    <w:rsid w:val="00E775C4"/>
    <w:rsid w:val="00E7792F"/>
    <w:rsid w:val="00E827D8"/>
    <w:rsid w:val="00E828A2"/>
    <w:rsid w:val="00E93643"/>
    <w:rsid w:val="00E97503"/>
    <w:rsid w:val="00EA645C"/>
    <w:rsid w:val="00EB05C2"/>
    <w:rsid w:val="00EC0278"/>
    <w:rsid w:val="00ED12F2"/>
    <w:rsid w:val="00EE36F4"/>
    <w:rsid w:val="00EE3DB5"/>
    <w:rsid w:val="00EE48C5"/>
    <w:rsid w:val="00EE6C9A"/>
    <w:rsid w:val="00EF09BC"/>
    <w:rsid w:val="00EF4B5C"/>
    <w:rsid w:val="00EF6B23"/>
    <w:rsid w:val="00F259F3"/>
    <w:rsid w:val="00F27C40"/>
    <w:rsid w:val="00F310BA"/>
    <w:rsid w:val="00F31C28"/>
    <w:rsid w:val="00F40E10"/>
    <w:rsid w:val="00F42716"/>
    <w:rsid w:val="00F5409C"/>
    <w:rsid w:val="00F56EA5"/>
    <w:rsid w:val="00F57ABE"/>
    <w:rsid w:val="00F61B19"/>
    <w:rsid w:val="00F63F99"/>
    <w:rsid w:val="00F731A2"/>
    <w:rsid w:val="00F74A98"/>
    <w:rsid w:val="00F91986"/>
    <w:rsid w:val="00FB152E"/>
    <w:rsid w:val="00FC0028"/>
    <w:rsid w:val="00FC12C0"/>
    <w:rsid w:val="00FC1540"/>
    <w:rsid w:val="00FC1B32"/>
    <w:rsid w:val="00FC48D6"/>
    <w:rsid w:val="00FC6213"/>
    <w:rsid w:val="00FD146A"/>
    <w:rsid w:val="00FD5E13"/>
    <w:rsid w:val="00FD6150"/>
    <w:rsid w:val="00FE31DA"/>
    <w:rsid w:val="00FF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0A2F18"/>
    <w:pPr>
      <w:ind w:leftChars="2500" w:left="100"/>
    </w:pPr>
  </w:style>
  <w:style w:type="character" w:styleId="a5">
    <w:name w:val="Hyperlink"/>
    <w:basedOn w:val="a0"/>
    <w:rsid w:val="00476DAF"/>
    <w:rPr>
      <w:color w:val="0000FF"/>
      <w:u w:val="single"/>
    </w:rPr>
  </w:style>
  <w:style w:type="paragraph" w:styleId="a6">
    <w:name w:val="footer"/>
    <w:basedOn w:val="a"/>
    <w:rsid w:val="00122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22480"/>
  </w:style>
  <w:style w:type="paragraph" w:styleId="a8">
    <w:name w:val="Balloon Text"/>
    <w:basedOn w:val="a"/>
    <w:semiHidden/>
    <w:rsid w:val="009525DC"/>
    <w:rPr>
      <w:sz w:val="18"/>
      <w:szCs w:val="18"/>
    </w:rPr>
  </w:style>
  <w:style w:type="paragraph" w:styleId="a9">
    <w:name w:val="header"/>
    <w:basedOn w:val="a"/>
    <w:rsid w:val="00F31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Links>
    <vt:vector size="6" baseType="variant">
      <vt:variant>
        <vt:i4>393259</vt:i4>
      </vt:variant>
      <vt:variant>
        <vt:i4>0</vt:i4>
      </vt:variant>
      <vt:variant>
        <vt:i4>0</vt:i4>
      </vt:variant>
      <vt:variant>
        <vt:i4>5</vt:i4>
      </vt:variant>
      <vt:variant>
        <vt:lpwstr>mailto:lianghong213@163.com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重症专科资质理论培训学员班招生简章</dc:title>
  <dc:subject/>
  <dc:creator> </dc:creator>
  <cp:keywords/>
  <dc:description/>
  <cp:lastModifiedBy>www</cp:lastModifiedBy>
  <cp:revision>8</cp:revision>
  <cp:lastPrinted>2012-02-01T04:57:00Z</cp:lastPrinted>
  <dcterms:created xsi:type="dcterms:W3CDTF">2012-02-01T02:21:00Z</dcterms:created>
  <dcterms:modified xsi:type="dcterms:W3CDTF">2012-02-01T04:57:00Z</dcterms:modified>
</cp:coreProperties>
</file>